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A45" w:rsidRDefault="008D34FC">
      <w:pPr>
        <w:rPr>
          <w:b/>
        </w:rPr>
      </w:pPr>
      <w:bookmarkStart w:id="0" w:name="_GoBack"/>
      <w:bookmarkEnd w:id="0"/>
      <w:r>
        <w:rPr>
          <w:b/>
        </w:rPr>
        <w:t>Education Scrutiny Commit</w:t>
      </w:r>
      <w:r w:rsidR="005D022D">
        <w:rPr>
          <w:b/>
        </w:rPr>
        <w:t>t</w:t>
      </w:r>
      <w:r>
        <w:rPr>
          <w:b/>
        </w:rPr>
        <w:t>ee</w:t>
      </w:r>
    </w:p>
    <w:p w:rsidR="003E6A45" w:rsidRDefault="003E6A45">
      <w:r>
        <w:t xml:space="preserve">Meeting to be held on </w:t>
      </w:r>
      <w:r w:rsidR="005D022D">
        <w:t xml:space="preserve">5 </w:t>
      </w:r>
      <w:r w:rsidR="008D34FC">
        <w:t>November 2013</w:t>
      </w:r>
    </w:p>
    <w:p w:rsidR="003E6A45" w:rsidRDefault="003E6A45"/>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3E6A45">
        <w:tblPrEx>
          <w:tblCellMar>
            <w:top w:w="0" w:type="dxa"/>
            <w:bottom w:w="0" w:type="dxa"/>
          </w:tblCellMar>
        </w:tblPrEx>
        <w:tc>
          <w:tcPr>
            <w:tcW w:w="3260" w:type="dxa"/>
          </w:tcPr>
          <w:p w:rsidR="003E6A45" w:rsidRDefault="003E6A45">
            <w:pPr>
              <w:pStyle w:val="BodyText"/>
            </w:pPr>
            <w:r>
              <w:t>Electoral Division affected:</w:t>
            </w:r>
          </w:p>
          <w:p w:rsidR="003E6A45" w:rsidRDefault="003C3E49" w:rsidP="003C3E49">
            <w:pPr>
              <w:rPr>
                <w:u w:val="single"/>
              </w:rPr>
            </w:pPr>
            <w:r>
              <w:t>All</w:t>
            </w:r>
          </w:p>
        </w:tc>
      </w:tr>
    </w:tbl>
    <w:p w:rsidR="003E6A45" w:rsidRDefault="003E6A45">
      <w:pPr>
        <w:rPr>
          <w:u w:val="single"/>
        </w:rPr>
      </w:pPr>
    </w:p>
    <w:p w:rsidR="003E6A45" w:rsidRDefault="008D34FC">
      <w:pPr>
        <w:rPr>
          <w:b/>
        </w:rPr>
      </w:pPr>
      <w:r>
        <w:rPr>
          <w:b/>
        </w:rPr>
        <w:t>Children and Young People not participating in a school setting</w:t>
      </w:r>
    </w:p>
    <w:p w:rsidR="003E6A45" w:rsidRDefault="005D022D" w:rsidP="005D022D">
      <w:r w:rsidRPr="005D022D">
        <w:t>(</w:t>
      </w:r>
      <w:r w:rsidR="00373C23">
        <w:t xml:space="preserve">Appendix </w:t>
      </w:r>
      <w:r>
        <w:t>'</w:t>
      </w:r>
      <w:r w:rsidR="00373C23">
        <w:t>A</w:t>
      </w:r>
      <w:r>
        <w:t>'</w:t>
      </w:r>
      <w:r w:rsidR="00373C23">
        <w:t xml:space="preserve"> refers to the Audit Scope Document on "Missing Children Themed Audit"</w:t>
      </w:r>
      <w:r>
        <w:t>)</w:t>
      </w:r>
    </w:p>
    <w:p w:rsidR="003E6A45" w:rsidRDefault="003E6A45"/>
    <w:p w:rsidR="008D34FC" w:rsidRDefault="003E6A45">
      <w:r>
        <w:t>Contact for further information:</w:t>
      </w:r>
      <w:r w:rsidR="005D022D">
        <w:t xml:space="preserve"> </w:t>
      </w:r>
      <w:r w:rsidR="008D34FC">
        <w:t>Bob Stott</w:t>
      </w:r>
      <w:r>
        <w:t xml:space="preserve">, </w:t>
      </w:r>
      <w:r w:rsidR="008D34FC">
        <w:t>Director of Universal and Early Support Services</w:t>
      </w:r>
      <w:r w:rsidR="005D022D">
        <w:t xml:space="preserve">, </w:t>
      </w:r>
      <w:r w:rsidR="003C3E49">
        <w:t>Directorate for Children and Young People</w:t>
      </w:r>
      <w:r w:rsidR="005D022D">
        <w:t xml:space="preserve">, </w:t>
      </w:r>
      <w:r w:rsidR="008D34FC">
        <w:t>Tel 01772 531652</w:t>
      </w:r>
    </w:p>
    <w:p w:rsidR="008D34FC" w:rsidRDefault="008D34FC">
      <w:hyperlink r:id="rId7" w:history="1">
        <w:r w:rsidRPr="00532D43">
          <w:rPr>
            <w:rStyle w:val="Hyperlink"/>
          </w:rPr>
          <w:t>bob.stott@lancashire.gov.uk</w:t>
        </w:r>
      </w:hyperlink>
    </w:p>
    <w:p w:rsidR="008D34FC" w:rsidRDefault="008D34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3E6A45">
        <w:tblPrEx>
          <w:tblCellMar>
            <w:top w:w="0" w:type="dxa"/>
            <w:bottom w:w="0" w:type="dxa"/>
          </w:tblCellMar>
        </w:tblPrEx>
        <w:tc>
          <w:tcPr>
            <w:tcW w:w="9180" w:type="dxa"/>
          </w:tcPr>
          <w:p w:rsidR="003E6A45" w:rsidRDefault="003E6A45">
            <w:pPr>
              <w:pStyle w:val="Heading6"/>
              <w:rPr>
                <w:rFonts w:ascii="Arial" w:hAnsi="Arial"/>
              </w:rPr>
            </w:pPr>
            <w:r>
              <w:rPr>
                <w:rFonts w:ascii="Arial" w:hAnsi="Arial"/>
              </w:rPr>
              <w:t>Executive Summary</w:t>
            </w:r>
          </w:p>
          <w:p w:rsidR="003E6A45" w:rsidRDefault="003E6A45"/>
          <w:p w:rsidR="00A22FA3" w:rsidRPr="005D022D" w:rsidRDefault="008D34FC">
            <w:r w:rsidRPr="005D022D">
              <w:t xml:space="preserve">This report aims to update </w:t>
            </w:r>
            <w:r w:rsidR="005D022D">
              <w:t xml:space="preserve">the </w:t>
            </w:r>
            <w:r w:rsidRPr="005D022D">
              <w:t xml:space="preserve">Education Scrutiny </w:t>
            </w:r>
            <w:r w:rsidR="005D022D">
              <w:t xml:space="preserve">Committee </w:t>
            </w:r>
            <w:r w:rsidRPr="005D022D">
              <w:t>on the performance and progress</w:t>
            </w:r>
            <w:r w:rsidR="00A22FA3" w:rsidRPr="005D022D">
              <w:t xml:space="preserve"> around </w:t>
            </w:r>
            <w:r w:rsidRPr="005D022D">
              <w:t xml:space="preserve">four </w:t>
            </w:r>
            <w:r w:rsidR="00A22FA3" w:rsidRPr="005D022D">
              <w:t xml:space="preserve">of the </w:t>
            </w:r>
            <w:r w:rsidRPr="005D022D">
              <w:t xml:space="preserve">teams working closely with groups of children and young people who are currently not participating in </w:t>
            </w:r>
            <w:r w:rsidR="00373C23" w:rsidRPr="005D022D">
              <w:t xml:space="preserve">education in </w:t>
            </w:r>
            <w:r w:rsidRPr="005D022D">
              <w:t>a school setting.</w:t>
            </w:r>
            <w:r w:rsidR="00A22FA3" w:rsidRPr="005D022D">
              <w:t xml:space="preserve"> </w:t>
            </w:r>
          </w:p>
          <w:p w:rsidR="00A22FA3" w:rsidRPr="00A22FA3" w:rsidRDefault="00A22FA3">
            <w:pPr>
              <w:rPr>
                <w:b/>
              </w:rPr>
            </w:pPr>
          </w:p>
          <w:p w:rsidR="00A22FA3" w:rsidRDefault="00A22FA3">
            <w:r>
              <w:t>Sections of the report will refer to:</w:t>
            </w:r>
          </w:p>
          <w:p w:rsidR="00A22FA3" w:rsidRDefault="00A22FA3" w:rsidP="00A22FA3">
            <w:pPr>
              <w:numPr>
                <w:ilvl w:val="0"/>
                <w:numId w:val="1"/>
              </w:numPr>
            </w:pPr>
            <w:r>
              <w:t>Work done to support children and young people who are "Persistently Absent" (PA) from school.</w:t>
            </w:r>
          </w:p>
          <w:p w:rsidR="003E6A45" w:rsidRDefault="00A22FA3" w:rsidP="00A22FA3">
            <w:pPr>
              <w:numPr>
                <w:ilvl w:val="0"/>
                <w:numId w:val="1"/>
              </w:numPr>
            </w:pPr>
            <w:r>
              <w:t xml:space="preserve"> Work done to support children and young people who are "Permanently Excluded" from school.</w:t>
            </w:r>
          </w:p>
          <w:p w:rsidR="00A22FA3" w:rsidRDefault="00A22FA3" w:rsidP="00A22FA3">
            <w:pPr>
              <w:numPr>
                <w:ilvl w:val="0"/>
                <w:numId w:val="1"/>
              </w:numPr>
            </w:pPr>
            <w:r>
              <w:t>Work done to support Gypsy Roma Traveller (GRT) children and young people who are not educated in school or electively home educated.</w:t>
            </w:r>
          </w:p>
          <w:p w:rsidR="00A22FA3" w:rsidRDefault="00A22FA3" w:rsidP="00A22FA3">
            <w:pPr>
              <w:numPr>
                <w:ilvl w:val="0"/>
                <w:numId w:val="1"/>
              </w:numPr>
            </w:pPr>
            <w:r>
              <w:t>Work done to support children and young people who are "missing from education. (CME)</w:t>
            </w:r>
          </w:p>
          <w:p w:rsidR="00A22FA3" w:rsidRDefault="00A22FA3" w:rsidP="00A22FA3"/>
          <w:p w:rsidR="00A22FA3" w:rsidRDefault="00A22FA3" w:rsidP="00C11384">
            <w:pPr>
              <w:jc w:val="both"/>
            </w:pPr>
            <w:r>
              <w:t xml:space="preserve">The report will also include information </w:t>
            </w:r>
            <w:r w:rsidR="00782250">
              <w:t xml:space="preserve">in Appendix </w:t>
            </w:r>
            <w:r w:rsidR="003C31B3">
              <w:t>'</w:t>
            </w:r>
            <w:r w:rsidR="00782250">
              <w:t>A</w:t>
            </w:r>
            <w:r w:rsidR="003C31B3">
              <w:t>'</w:t>
            </w:r>
            <w:r w:rsidR="00782250">
              <w:t xml:space="preserve"> </w:t>
            </w:r>
            <w:r>
              <w:t>on the themed audit that Directorate for Children and Young People (DCYP)</w:t>
            </w:r>
            <w:r w:rsidR="00373C23">
              <w:t xml:space="preserve"> </w:t>
            </w:r>
            <w:r w:rsidR="00D57906">
              <w:t xml:space="preserve">is carrying out </w:t>
            </w:r>
            <w:r w:rsidR="00373C23">
              <w:t>across this year around "missing children" and the connectivity of Local Authority and other partner services around supporting this broader group. It is envisaged that the findings of this themed audit will be reported back to various groups including the La</w:t>
            </w:r>
            <w:r w:rsidR="00C11384">
              <w:t>ncashire Safeguarding Children</w:t>
            </w:r>
            <w:r w:rsidR="00373C23">
              <w:t xml:space="preserve"> Board and Education Scrutiny </w:t>
            </w:r>
          </w:p>
          <w:p w:rsidR="00373C23" w:rsidRDefault="00373C23">
            <w:pPr>
              <w:pStyle w:val="Heading5"/>
              <w:rPr>
                <w:rFonts w:ascii="Arial" w:hAnsi="Arial"/>
                <w:u w:val="none"/>
              </w:rPr>
            </w:pPr>
          </w:p>
          <w:p w:rsidR="003E6A45" w:rsidRDefault="003E6A45">
            <w:pPr>
              <w:pStyle w:val="Heading5"/>
              <w:rPr>
                <w:rFonts w:ascii="Arial" w:hAnsi="Arial"/>
                <w:u w:val="none"/>
              </w:rPr>
            </w:pPr>
            <w:r>
              <w:rPr>
                <w:rFonts w:ascii="Arial" w:hAnsi="Arial"/>
                <w:u w:val="none"/>
              </w:rPr>
              <w:t>Recommendation</w:t>
            </w:r>
            <w:r w:rsidR="00373C23">
              <w:rPr>
                <w:rFonts w:ascii="Arial" w:hAnsi="Arial"/>
                <w:u w:val="none"/>
              </w:rPr>
              <w:t>s</w:t>
            </w:r>
          </w:p>
          <w:p w:rsidR="003C31B3" w:rsidRPr="003C31B3" w:rsidRDefault="003C31B3" w:rsidP="003C31B3"/>
          <w:p w:rsidR="00373C23" w:rsidRDefault="003C31B3" w:rsidP="00C11384">
            <w:pPr>
              <w:jc w:val="both"/>
            </w:pPr>
            <w:r>
              <w:t>The</w:t>
            </w:r>
            <w:r w:rsidR="00373C23">
              <w:t xml:space="preserve"> </w:t>
            </w:r>
            <w:r w:rsidR="0048750F">
              <w:t xml:space="preserve">Education Scrutiny </w:t>
            </w:r>
            <w:r w:rsidR="00373C23">
              <w:t>Committee is requested to note and comment on the report.</w:t>
            </w:r>
          </w:p>
          <w:p w:rsidR="003E6A45" w:rsidRDefault="003C31B3" w:rsidP="00C11384">
            <w:pPr>
              <w:jc w:val="both"/>
            </w:pPr>
            <w:r>
              <w:t>The Commit</w:t>
            </w:r>
            <w:r w:rsidR="0048750F">
              <w:t>t</w:t>
            </w:r>
            <w:r>
              <w:t>ee</w:t>
            </w:r>
            <w:r w:rsidR="00373C23">
              <w:t xml:space="preserve"> is requested to receive a further report on the themed audit around "missing children"</w:t>
            </w:r>
            <w:r w:rsidR="00981ECB">
              <w:t>.</w:t>
            </w:r>
          </w:p>
          <w:p w:rsidR="003C31B3" w:rsidRDefault="003C31B3" w:rsidP="00C11384">
            <w:pPr>
              <w:jc w:val="both"/>
            </w:pPr>
          </w:p>
        </w:tc>
      </w:tr>
    </w:tbl>
    <w:p w:rsidR="003E6A45" w:rsidRDefault="003E6A45">
      <w:pPr>
        <w:pStyle w:val="Header"/>
      </w:pPr>
    </w:p>
    <w:p w:rsidR="00772BBA" w:rsidRDefault="00772BBA" w:rsidP="00772BBA">
      <w:pPr>
        <w:rPr>
          <w:b/>
        </w:rPr>
      </w:pPr>
      <w:r>
        <w:rPr>
          <w:b/>
        </w:rPr>
        <w:t xml:space="preserve">Background and Advice </w:t>
      </w:r>
    </w:p>
    <w:p w:rsidR="00772BBA" w:rsidRDefault="00772BBA" w:rsidP="00772BBA">
      <w:pPr>
        <w:rPr>
          <w:b/>
        </w:rPr>
      </w:pPr>
    </w:p>
    <w:p w:rsidR="00FE0B66" w:rsidRPr="000D6783" w:rsidRDefault="00FE0B66" w:rsidP="00FE0B66">
      <w:pPr>
        <w:pStyle w:val="NoSpacing"/>
        <w:numPr>
          <w:ilvl w:val="0"/>
          <w:numId w:val="3"/>
        </w:numPr>
        <w:jc w:val="both"/>
        <w:rPr>
          <w:rFonts w:ascii="Arial" w:hAnsi="Arial" w:cs="Arial"/>
          <w:b/>
          <w:sz w:val="24"/>
          <w:szCs w:val="24"/>
        </w:rPr>
      </w:pPr>
      <w:r w:rsidRPr="000D6783">
        <w:rPr>
          <w:rFonts w:ascii="Arial" w:hAnsi="Arial" w:cs="Arial"/>
          <w:b/>
          <w:sz w:val="24"/>
          <w:szCs w:val="24"/>
        </w:rPr>
        <w:t>Persistent Absence (PA)</w:t>
      </w:r>
    </w:p>
    <w:p w:rsidR="00FE0B66" w:rsidRPr="000D6783" w:rsidRDefault="00FE0B66" w:rsidP="00FE0B66">
      <w:pPr>
        <w:pStyle w:val="NoSpacing"/>
        <w:jc w:val="both"/>
        <w:rPr>
          <w:rFonts w:ascii="Arial" w:hAnsi="Arial" w:cs="Arial"/>
          <w:b/>
          <w:sz w:val="24"/>
          <w:szCs w:val="24"/>
        </w:rPr>
      </w:pPr>
    </w:p>
    <w:p w:rsidR="00FE0B66" w:rsidRPr="00FE0B66" w:rsidRDefault="00FE0B66" w:rsidP="00FE0B66">
      <w:pPr>
        <w:pStyle w:val="NoSpacing"/>
        <w:jc w:val="both"/>
        <w:rPr>
          <w:rFonts w:ascii="Arial" w:hAnsi="Arial" w:cs="Arial"/>
          <w:sz w:val="24"/>
          <w:szCs w:val="24"/>
        </w:rPr>
      </w:pPr>
      <w:r w:rsidRPr="00FE0B66">
        <w:rPr>
          <w:rFonts w:ascii="Arial" w:hAnsi="Arial" w:cs="Arial"/>
          <w:sz w:val="24"/>
          <w:szCs w:val="24"/>
        </w:rPr>
        <w:t xml:space="preserve">The use of Persistent Absence as a measure was introduced in 2006 and at that time related to pupils who had an overall absence rate of around 20 per cent or </w:t>
      </w:r>
      <w:r w:rsidRPr="00FE0B66">
        <w:rPr>
          <w:rFonts w:ascii="Arial" w:hAnsi="Arial" w:cs="Arial"/>
          <w:sz w:val="24"/>
          <w:szCs w:val="24"/>
        </w:rPr>
        <w:lastRenderedPageBreak/>
        <w:t>more.  This measure was reduced during the 2010-11 academic year to identify pupils who had an overall absence rate of around 15 per cent or more.  This is measured as pupils having 38 or more sessions of absence (both authorised and unauthorised) across the Autumn and Spring Terms combined, or 46 or more sessions of absence over the whole school year (measured up to the summer half term break).</w:t>
      </w:r>
    </w:p>
    <w:p w:rsidR="00FE0B66"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The local authority works to ensure that schools have a clear understanding of those pupils who are Persistent Absentees or are on track to become P</w:t>
      </w:r>
      <w:r>
        <w:rPr>
          <w:rFonts w:ascii="Arial" w:hAnsi="Arial" w:cs="Arial"/>
          <w:sz w:val="24"/>
          <w:szCs w:val="24"/>
        </w:rPr>
        <w:t>A</w:t>
      </w:r>
      <w:r w:rsidRPr="000D6783">
        <w:rPr>
          <w:rFonts w:ascii="Arial" w:hAnsi="Arial" w:cs="Arial"/>
          <w:sz w:val="24"/>
          <w:szCs w:val="24"/>
        </w:rPr>
        <w:t xml:space="preserve"> if their attendance does not improve.  The Behaviour and Attendance Consultants (secondary phase) and </w:t>
      </w:r>
      <w:r>
        <w:rPr>
          <w:rFonts w:ascii="Arial" w:hAnsi="Arial" w:cs="Arial"/>
          <w:sz w:val="24"/>
          <w:szCs w:val="24"/>
        </w:rPr>
        <w:t>School Attendance Consultants (primary phase and cross-phase s</w:t>
      </w:r>
      <w:r w:rsidRPr="000D6783">
        <w:rPr>
          <w:rFonts w:ascii="Arial" w:hAnsi="Arial" w:cs="Arial"/>
          <w:sz w:val="24"/>
          <w:szCs w:val="24"/>
        </w:rPr>
        <w:t>pecial) offer advice to schools on whole school strategies to improve overall levels of attendance across the school profile, with a particular reference to vulnerable groups.  They also advise schools on the use of the reporting options within the Schools Information Management System (SIMS) attendance module which allows schools to identify young people in those vulnerable groups whose attendance is becoming a cause for concern.</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Funding has been devolved to secondary schools along with the responsibility for undertaking attendance related casework in order to support young people who are not attending – identifying barriers to education, implementing packages of support to overcome those barriers and facilitate engagement back into education, and where appropriate w</w:t>
      </w:r>
      <w:r>
        <w:rPr>
          <w:rFonts w:ascii="Arial" w:hAnsi="Arial" w:cs="Arial"/>
          <w:sz w:val="24"/>
          <w:szCs w:val="24"/>
        </w:rPr>
        <w:t>orking in partnership with the School A</w:t>
      </w:r>
      <w:r w:rsidRPr="000D6783">
        <w:rPr>
          <w:rFonts w:ascii="Arial" w:hAnsi="Arial" w:cs="Arial"/>
          <w:sz w:val="24"/>
          <w:szCs w:val="24"/>
        </w:rPr>
        <w:t>tten</w:t>
      </w:r>
      <w:r>
        <w:rPr>
          <w:rFonts w:ascii="Arial" w:hAnsi="Arial" w:cs="Arial"/>
          <w:sz w:val="24"/>
          <w:szCs w:val="24"/>
        </w:rPr>
        <w:t>dance S</w:t>
      </w:r>
      <w:r w:rsidRPr="000D6783">
        <w:rPr>
          <w:rFonts w:ascii="Arial" w:hAnsi="Arial" w:cs="Arial"/>
          <w:sz w:val="24"/>
          <w:szCs w:val="24"/>
        </w:rPr>
        <w:t>ervice to challenge parents who are not fulfilling their responsibility to ensure their children receive an appropriate education.</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For primary and special schools, the School Attendance Consultants offer case specific advice at an early stage to assist schools in managing low level attendance</w:t>
      </w:r>
      <w:r>
        <w:rPr>
          <w:rFonts w:ascii="Arial" w:hAnsi="Arial" w:cs="Arial"/>
          <w:sz w:val="24"/>
          <w:szCs w:val="24"/>
        </w:rPr>
        <w:t xml:space="preserve"> issues</w:t>
      </w:r>
      <w:r w:rsidRPr="000D6783">
        <w:rPr>
          <w:rFonts w:ascii="Arial" w:hAnsi="Arial" w:cs="Arial"/>
          <w:sz w:val="24"/>
          <w:szCs w:val="24"/>
        </w:rPr>
        <w:t xml:space="preserve"> and the Pupil Attendance Support Team are also available to help schools who are experiencing more challenging cases of non-attendance on an individual casework basis. </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Pr>
          <w:rFonts w:ascii="Arial" w:hAnsi="Arial" w:cs="Arial"/>
          <w:sz w:val="24"/>
          <w:szCs w:val="24"/>
        </w:rPr>
        <w:t>The attendance s</w:t>
      </w:r>
      <w:r w:rsidRPr="000D6783">
        <w:rPr>
          <w:rFonts w:ascii="Arial" w:hAnsi="Arial" w:cs="Arial"/>
          <w:sz w:val="24"/>
          <w:szCs w:val="24"/>
        </w:rPr>
        <w:t>ervice's legal team issues education related penalty notices on behalf of schools – both for low lev</w:t>
      </w:r>
      <w:r>
        <w:rPr>
          <w:rFonts w:ascii="Arial" w:hAnsi="Arial" w:cs="Arial"/>
          <w:sz w:val="24"/>
          <w:szCs w:val="24"/>
        </w:rPr>
        <w:t>el truancy and</w:t>
      </w:r>
      <w:r w:rsidRPr="000D6783">
        <w:rPr>
          <w:rFonts w:ascii="Arial" w:hAnsi="Arial" w:cs="Arial"/>
          <w:sz w:val="24"/>
          <w:szCs w:val="24"/>
        </w:rPr>
        <w:t xml:space="preserve"> in respect of unauthorised leave of absence (usually for family holidays), and also conducts legal proceedings (parental prosecutions in the Magistrates' Court, applications for Education Supervision Orders in the Family Proceedings Courts, etc).</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 xml:space="preserve">In addition, the attendance service offers input to governor training to ensure governing bodies understand their responsibilities in respect of attendance and undertake register inspections as required to ensure schools are complying with the relevant legislation and regulations relating to attendance.  </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 xml:space="preserve">Although most PA pupils are out of school as a result of </w:t>
      </w:r>
      <w:r>
        <w:rPr>
          <w:rFonts w:ascii="Arial" w:hAnsi="Arial" w:cs="Arial"/>
          <w:sz w:val="24"/>
          <w:szCs w:val="24"/>
        </w:rPr>
        <w:t xml:space="preserve">authorised absence, </w:t>
      </w:r>
      <w:r w:rsidRPr="000D6783">
        <w:rPr>
          <w:rFonts w:ascii="Arial" w:hAnsi="Arial" w:cs="Arial"/>
          <w:sz w:val="24"/>
          <w:szCs w:val="24"/>
        </w:rPr>
        <w:t xml:space="preserve">the child refusing to attend or a parent </w:t>
      </w:r>
      <w:r>
        <w:rPr>
          <w:rFonts w:ascii="Arial" w:hAnsi="Arial" w:cs="Arial"/>
          <w:sz w:val="24"/>
          <w:szCs w:val="24"/>
        </w:rPr>
        <w:t>colluding with</w:t>
      </w:r>
      <w:r w:rsidRPr="000D6783">
        <w:rPr>
          <w:rFonts w:ascii="Arial" w:hAnsi="Arial" w:cs="Arial"/>
          <w:sz w:val="24"/>
          <w:szCs w:val="24"/>
        </w:rPr>
        <w:t xml:space="preserve"> absences, there are also instances where children are found to be out of school as a result of unofficial exclusion.  In many instances such unofficial exclusions are as a result of schools attempting to be supportive of children, young people and their families in often complex and challenging cases but where they are preventing </w:t>
      </w:r>
      <w:r>
        <w:rPr>
          <w:rFonts w:ascii="Arial" w:hAnsi="Arial" w:cs="Arial"/>
          <w:sz w:val="24"/>
          <w:szCs w:val="24"/>
        </w:rPr>
        <w:t xml:space="preserve">children </w:t>
      </w:r>
      <w:r w:rsidRPr="000D6783">
        <w:rPr>
          <w:rFonts w:ascii="Arial" w:hAnsi="Arial" w:cs="Arial"/>
          <w:sz w:val="24"/>
          <w:szCs w:val="24"/>
        </w:rPr>
        <w:t>from attending school other than through the formal exclusion procedures, this is unlawful.</w:t>
      </w: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lastRenderedPageBreak/>
        <w:t>In April 2013 the Office of the Children's Commissioner (OCC) published a report on illegal exclusions from school ("Always Someone Else's Problem").  Although there are no formal statistics on unofficial exclusions, the OCC estimated that several hundred schools in England may be excluding children illegally.</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Examples of unofficial exclusions identified in the report included:</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numPr>
          <w:ilvl w:val="0"/>
          <w:numId w:val="2"/>
        </w:numPr>
        <w:jc w:val="both"/>
        <w:rPr>
          <w:rFonts w:ascii="Arial" w:hAnsi="Arial" w:cs="Arial"/>
          <w:sz w:val="24"/>
          <w:szCs w:val="24"/>
        </w:rPr>
      </w:pPr>
      <w:r w:rsidRPr="000D6783">
        <w:rPr>
          <w:rFonts w:ascii="Arial" w:hAnsi="Arial" w:cs="Arial"/>
          <w:sz w:val="24"/>
          <w:szCs w:val="24"/>
        </w:rPr>
        <w:t>Pupils excluded without proper procedures being followed; exclusions are usually for short periods, but may be frequently repeated for the same chid, meaning that this child misses substantial amounts of education (this includes pupils being sent home or told to remain at home for "cooling off", or whilst awaiting a reintegration interview)</w:t>
      </w:r>
    </w:p>
    <w:p w:rsidR="00FE0B66" w:rsidRPr="000D6783" w:rsidRDefault="00FE0B66" w:rsidP="00FE0B66">
      <w:pPr>
        <w:pStyle w:val="NoSpacing"/>
        <w:numPr>
          <w:ilvl w:val="0"/>
          <w:numId w:val="2"/>
        </w:numPr>
        <w:jc w:val="both"/>
        <w:rPr>
          <w:rFonts w:ascii="Arial" w:hAnsi="Arial" w:cs="Arial"/>
          <w:sz w:val="24"/>
          <w:szCs w:val="24"/>
        </w:rPr>
      </w:pPr>
      <w:r w:rsidRPr="000D6783">
        <w:rPr>
          <w:rFonts w:ascii="Arial" w:hAnsi="Arial" w:cs="Arial"/>
          <w:sz w:val="24"/>
          <w:szCs w:val="24"/>
        </w:rPr>
        <w:t>Pupils placed on extended study leave or part-time timetables, or on inappropriate alternative  provision, so as to remove them from school (even where parents "agree")</w:t>
      </w:r>
    </w:p>
    <w:p w:rsidR="00FE0B66" w:rsidRPr="000D6783" w:rsidRDefault="00FE0B66" w:rsidP="00FE0B66">
      <w:pPr>
        <w:pStyle w:val="NoSpacing"/>
        <w:numPr>
          <w:ilvl w:val="0"/>
          <w:numId w:val="2"/>
        </w:numPr>
        <w:jc w:val="both"/>
        <w:rPr>
          <w:rFonts w:ascii="Arial" w:hAnsi="Arial" w:cs="Arial"/>
          <w:sz w:val="24"/>
          <w:szCs w:val="24"/>
        </w:rPr>
      </w:pPr>
      <w:r w:rsidRPr="000D6783">
        <w:rPr>
          <w:rFonts w:ascii="Arial" w:hAnsi="Arial" w:cs="Arial"/>
          <w:sz w:val="24"/>
          <w:szCs w:val="24"/>
        </w:rPr>
        <w:t>Pupils persuaded to leave their current school, either to move to another school or to be educated at home under threat of formal permanent exclusion should this course not be followed</w:t>
      </w:r>
    </w:p>
    <w:p w:rsidR="00FE0B66" w:rsidRPr="000D6783" w:rsidRDefault="00FE0B66" w:rsidP="00FE0B66">
      <w:pPr>
        <w:pStyle w:val="NoSpacing"/>
        <w:numPr>
          <w:ilvl w:val="0"/>
          <w:numId w:val="2"/>
        </w:numPr>
        <w:jc w:val="both"/>
        <w:rPr>
          <w:rFonts w:ascii="Arial" w:hAnsi="Arial" w:cs="Arial"/>
          <w:sz w:val="24"/>
          <w:szCs w:val="24"/>
        </w:rPr>
      </w:pPr>
      <w:r w:rsidRPr="000D6783">
        <w:rPr>
          <w:rFonts w:ascii="Arial" w:hAnsi="Arial" w:cs="Arial"/>
          <w:sz w:val="24"/>
          <w:szCs w:val="24"/>
        </w:rPr>
        <w:t>Schools failing to have due regard to their legal responsibilities regarding the exclusion of children with statements of special educational needs or looked after children</w:t>
      </w:r>
    </w:p>
    <w:p w:rsidR="00FE0B66" w:rsidRPr="000D6783" w:rsidRDefault="00FE0B66" w:rsidP="00FE0B66">
      <w:pPr>
        <w:pStyle w:val="NoSpacing"/>
        <w:numPr>
          <w:ilvl w:val="0"/>
          <w:numId w:val="2"/>
        </w:numPr>
        <w:jc w:val="both"/>
        <w:rPr>
          <w:rFonts w:ascii="Arial" w:hAnsi="Arial" w:cs="Arial"/>
          <w:sz w:val="24"/>
          <w:szCs w:val="24"/>
        </w:rPr>
      </w:pPr>
      <w:r w:rsidRPr="000D6783">
        <w:rPr>
          <w:rFonts w:ascii="Arial" w:hAnsi="Arial" w:cs="Arial"/>
          <w:sz w:val="24"/>
          <w:szCs w:val="24"/>
        </w:rPr>
        <w:t>Schools failing to fulfil their legal responsibility to provide alternative education for those excluded on fixed term exclusions of more than five days</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Due to their nature no official data exist for unofficial exclusions but the attendance service works with colleagues from Pupil Access and the Children Missing Education teams to challenge such cases when they are brought to our attention.</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Lancashire's attendance figures compare favourably with the national figures – over the last three years Lancashire has generally outperformed national figures for both Overall Absence and Persistent Absence in all phases and consistently reflect well compared to our statistical neigh</w:t>
      </w:r>
      <w:r>
        <w:rPr>
          <w:rFonts w:ascii="Arial" w:hAnsi="Arial" w:cs="Arial"/>
          <w:sz w:val="24"/>
          <w:szCs w:val="24"/>
        </w:rPr>
        <w:t>b</w:t>
      </w:r>
      <w:r w:rsidRPr="000D6783">
        <w:rPr>
          <w:rFonts w:ascii="Arial" w:hAnsi="Arial" w:cs="Arial"/>
          <w:sz w:val="24"/>
          <w:szCs w:val="24"/>
        </w:rPr>
        <w:t>ours.</w:t>
      </w:r>
    </w:p>
    <w:p w:rsidR="00FE0B66" w:rsidRPr="000D6783"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 xml:space="preserve">Primary </w:t>
      </w:r>
      <w:r>
        <w:rPr>
          <w:rFonts w:ascii="Arial" w:hAnsi="Arial" w:cs="Arial"/>
          <w:sz w:val="24"/>
          <w:szCs w:val="24"/>
        </w:rPr>
        <w:t>(</w:t>
      </w:r>
      <w:r w:rsidRPr="000D6783">
        <w:rPr>
          <w:rFonts w:ascii="Arial" w:hAnsi="Arial" w:cs="Arial"/>
          <w:sz w:val="24"/>
          <w:szCs w:val="24"/>
        </w:rPr>
        <w:t>Whole Year Data (Half Terms 1-5)</w:t>
      </w:r>
    </w:p>
    <w:p w:rsidR="00FE0B66" w:rsidRPr="000D6783" w:rsidRDefault="00FE0B66" w:rsidP="00FE0B66">
      <w:pPr>
        <w:pStyle w:val="NoSpacing"/>
        <w:jc w:val="both"/>
        <w:rPr>
          <w:rFonts w:ascii="Arial" w:hAnsi="Arial" w:cs="Arial"/>
          <w:sz w:val="24"/>
          <w:szCs w:val="24"/>
        </w:rPr>
      </w:pP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School Year</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LCC OA%</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England OA%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LCC PA%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England PA%</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p>
        </w:tc>
        <w:tc>
          <w:tcPr>
            <w:tcW w:w="1848" w:type="dxa"/>
          </w:tcPr>
          <w:p w:rsidR="00FE0B66" w:rsidRPr="002A4C32" w:rsidRDefault="00FE0B66" w:rsidP="00FE0B66">
            <w:pPr>
              <w:pStyle w:val="NoSpacing"/>
              <w:jc w:val="both"/>
              <w:rPr>
                <w:rFonts w:ascii="Arial" w:hAnsi="Arial" w:cs="Arial"/>
                <w:sz w:val="24"/>
                <w:szCs w:val="24"/>
              </w:rPr>
            </w:pPr>
          </w:p>
        </w:tc>
        <w:tc>
          <w:tcPr>
            <w:tcW w:w="1848" w:type="dxa"/>
          </w:tcPr>
          <w:p w:rsidR="00FE0B66" w:rsidRPr="002A4C32" w:rsidRDefault="00FE0B66" w:rsidP="00FE0B66">
            <w:pPr>
              <w:pStyle w:val="NoSpacing"/>
              <w:jc w:val="both"/>
              <w:rPr>
                <w:rFonts w:ascii="Arial" w:hAnsi="Arial" w:cs="Arial"/>
                <w:sz w:val="24"/>
                <w:szCs w:val="24"/>
              </w:rPr>
            </w:pPr>
          </w:p>
        </w:tc>
        <w:tc>
          <w:tcPr>
            <w:tcW w:w="1849" w:type="dxa"/>
          </w:tcPr>
          <w:p w:rsidR="00FE0B66" w:rsidRPr="002A4C32" w:rsidRDefault="00FE0B66" w:rsidP="00FE0B66">
            <w:pPr>
              <w:pStyle w:val="NoSpacing"/>
              <w:jc w:val="both"/>
              <w:rPr>
                <w:rFonts w:ascii="Arial" w:hAnsi="Arial" w:cs="Arial"/>
                <w:sz w:val="24"/>
                <w:szCs w:val="24"/>
              </w:rPr>
            </w:pPr>
          </w:p>
        </w:tc>
        <w:tc>
          <w:tcPr>
            <w:tcW w:w="1849" w:type="dxa"/>
          </w:tcPr>
          <w:p w:rsidR="00FE0B66" w:rsidRPr="002A4C32" w:rsidRDefault="00FE0B66" w:rsidP="00FE0B66">
            <w:pPr>
              <w:pStyle w:val="NoSpacing"/>
              <w:jc w:val="both"/>
              <w:rPr>
                <w:rFonts w:ascii="Arial" w:hAnsi="Arial" w:cs="Arial"/>
                <w:sz w:val="24"/>
                <w:szCs w:val="24"/>
              </w:rPr>
            </w:pP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2009-10</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4.9%</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5.2%</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N/A*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N/A</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2010-11</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4.7%</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5.0%</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3.6%</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3.9%</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2011-12</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3.9%</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4.4%</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2.6%</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3.1%</w:t>
            </w:r>
          </w:p>
        </w:tc>
      </w:tr>
    </w:tbl>
    <w:p w:rsidR="00FE0B66" w:rsidRDefault="00FE0B66" w:rsidP="00FE0B66">
      <w:pPr>
        <w:pStyle w:val="NoSpacing"/>
        <w:jc w:val="both"/>
        <w:rPr>
          <w:rFonts w:ascii="Arial" w:hAnsi="Arial" w:cs="Arial"/>
          <w:sz w:val="24"/>
          <w:szCs w:val="24"/>
        </w:rPr>
      </w:pPr>
      <w:r>
        <w:rPr>
          <w:rFonts w:ascii="Arial" w:hAnsi="Arial" w:cs="Arial"/>
          <w:sz w:val="24"/>
          <w:szCs w:val="24"/>
        </w:rPr>
        <w:t>*N/A – as PA data based on different threshold in subsequent years</w:t>
      </w:r>
    </w:p>
    <w:p w:rsidR="00FE0B66" w:rsidRDefault="00FE0B66" w:rsidP="00FE0B66">
      <w:pPr>
        <w:pStyle w:val="NoSpacing"/>
        <w:jc w:val="both"/>
        <w:rPr>
          <w:rFonts w:ascii="Arial" w:hAnsi="Arial" w:cs="Arial"/>
          <w:sz w:val="24"/>
          <w:szCs w:val="24"/>
        </w:rPr>
      </w:pPr>
    </w:p>
    <w:p w:rsidR="00FE0B66" w:rsidRDefault="00FE0B66" w:rsidP="00FE0B66">
      <w:pPr>
        <w:rPr>
          <w:rFonts w:cs="Arial"/>
          <w:szCs w:val="24"/>
        </w:rPr>
      </w:pPr>
    </w:p>
    <w:p w:rsidR="00FE0B66" w:rsidRPr="006D082E" w:rsidRDefault="00FE0B66" w:rsidP="00FE0B66">
      <w:pPr>
        <w:rPr>
          <w:rFonts w:cs="Arial"/>
          <w:szCs w:val="24"/>
        </w:rPr>
      </w:pPr>
      <w:r w:rsidRPr="006D082E">
        <w:rPr>
          <w:rFonts w:cs="Arial"/>
          <w:szCs w:val="24"/>
        </w:rPr>
        <w:t>Primary (Autumn and Spring Terms combined Half Terms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E0B66" w:rsidRPr="006D082E" w:rsidTr="00FE0B66">
        <w:tc>
          <w:tcPr>
            <w:tcW w:w="1848" w:type="dxa"/>
          </w:tcPr>
          <w:p w:rsidR="00FE0B66" w:rsidRPr="00FE0B66" w:rsidRDefault="00FE0B66" w:rsidP="003C3E49">
            <w:pPr>
              <w:rPr>
                <w:rFonts w:cs="Arial"/>
                <w:szCs w:val="24"/>
              </w:rPr>
            </w:pPr>
            <w:r w:rsidRPr="00FE0B66">
              <w:rPr>
                <w:rFonts w:cs="Arial"/>
                <w:szCs w:val="24"/>
              </w:rPr>
              <w:t>School Year</w:t>
            </w:r>
          </w:p>
        </w:tc>
        <w:tc>
          <w:tcPr>
            <w:tcW w:w="1848" w:type="dxa"/>
          </w:tcPr>
          <w:p w:rsidR="00FE0B66" w:rsidRPr="00FE0B66" w:rsidRDefault="00FE0B66" w:rsidP="003C3E49">
            <w:pPr>
              <w:rPr>
                <w:rFonts w:cs="Arial"/>
                <w:szCs w:val="24"/>
              </w:rPr>
            </w:pPr>
            <w:r w:rsidRPr="00FE0B66">
              <w:rPr>
                <w:rFonts w:cs="Arial"/>
                <w:szCs w:val="24"/>
              </w:rPr>
              <w:t>LCC OA%</w:t>
            </w:r>
          </w:p>
        </w:tc>
        <w:tc>
          <w:tcPr>
            <w:tcW w:w="1848" w:type="dxa"/>
          </w:tcPr>
          <w:p w:rsidR="00FE0B66" w:rsidRPr="00FE0B66" w:rsidRDefault="00FE0B66" w:rsidP="003C3E49">
            <w:pPr>
              <w:rPr>
                <w:rFonts w:cs="Arial"/>
                <w:szCs w:val="24"/>
              </w:rPr>
            </w:pPr>
            <w:r w:rsidRPr="00FE0B66">
              <w:rPr>
                <w:rFonts w:cs="Arial"/>
                <w:szCs w:val="24"/>
              </w:rPr>
              <w:t>England OA%</w:t>
            </w:r>
          </w:p>
        </w:tc>
        <w:tc>
          <w:tcPr>
            <w:tcW w:w="1849" w:type="dxa"/>
          </w:tcPr>
          <w:p w:rsidR="00FE0B66" w:rsidRPr="00FE0B66" w:rsidRDefault="00FE0B66" w:rsidP="003C3E49">
            <w:pPr>
              <w:rPr>
                <w:rFonts w:cs="Arial"/>
                <w:szCs w:val="24"/>
              </w:rPr>
            </w:pPr>
            <w:r w:rsidRPr="00FE0B66">
              <w:rPr>
                <w:rFonts w:cs="Arial"/>
                <w:szCs w:val="24"/>
              </w:rPr>
              <w:t>LCC PA%</w:t>
            </w:r>
          </w:p>
        </w:tc>
        <w:tc>
          <w:tcPr>
            <w:tcW w:w="1849" w:type="dxa"/>
          </w:tcPr>
          <w:p w:rsidR="00FE0B66" w:rsidRPr="00FE0B66" w:rsidRDefault="00FE0B66" w:rsidP="003C3E49">
            <w:pPr>
              <w:rPr>
                <w:rFonts w:cs="Arial"/>
                <w:szCs w:val="24"/>
              </w:rPr>
            </w:pPr>
            <w:r w:rsidRPr="00FE0B66">
              <w:rPr>
                <w:rFonts w:cs="Arial"/>
                <w:szCs w:val="24"/>
              </w:rPr>
              <w:t>England PA%</w:t>
            </w:r>
          </w:p>
        </w:tc>
      </w:tr>
      <w:tr w:rsidR="00FE0B66" w:rsidRPr="006D082E" w:rsidTr="00FE0B66">
        <w:tc>
          <w:tcPr>
            <w:tcW w:w="1848" w:type="dxa"/>
          </w:tcPr>
          <w:p w:rsidR="00FE0B66" w:rsidRPr="00FE0B66" w:rsidRDefault="00FE0B66" w:rsidP="003C3E49">
            <w:pPr>
              <w:rPr>
                <w:rFonts w:cs="Arial"/>
                <w:szCs w:val="24"/>
              </w:rPr>
            </w:pPr>
          </w:p>
        </w:tc>
        <w:tc>
          <w:tcPr>
            <w:tcW w:w="1848" w:type="dxa"/>
          </w:tcPr>
          <w:p w:rsidR="00FE0B66" w:rsidRPr="00FE0B66" w:rsidRDefault="00FE0B66" w:rsidP="003C3E49">
            <w:pPr>
              <w:rPr>
                <w:rFonts w:cs="Arial"/>
                <w:szCs w:val="24"/>
              </w:rPr>
            </w:pPr>
          </w:p>
        </w:tc>
        <w:tc>
          <w:tcPr>
            <w:tcW w:w="1848" w:type="dxa"/>
          </w:tcPr>
          <w:p w:rsidR="00FE0B66" w:rsidRPr="00FE0B66" w:rsidRDefault="00FE0B66" w:rsidP="003C3E49">
            <w:pPr>
              <w:rPr>
                <w:rFonts w:cs="Arial"/>
                <w:szCs w:val="24"/>
              </w:rPr>
            </w:pPr>
          </w:p>
        </w:tc>
        <w:tc>
          <w:tcPr>
            <w:tcW w:w="1849" w:type="dxa"/>
          </w:tcPr>
          <w:p w:rsidR="00FE0B66" w:rsidRPr="00FE0B66" w:rsidRDefault="00FE0B66" w:rsidP="003C3E49">
            <w:pPr>
              <w:rPr>
                <w:rFonts w:cs="Arial"/>
                <w:szCs w:val="24"/>
              </w:rPr>
            </w:pPr>
          </w:p>
        </w:tc>
        <w:tc>
          <w:tcPr>
            <w:tcW w:w="1849" w:type="dxa"/>
          </w:tcPr>
          <w:p w:rsidR="00FE0B66" w:rsidRPr="00FE0B66" w:rsidRDefault="00FE0B66" w:rsidP="003C3E49">
            <w:pPr>
              <w:rPr>
                <w:rFonts w:cs="Arial"/>
                <w:szCs w:val="24"/>
              </w:rPr>
            </w:pPr>
          </w:p>
        </w:tc>
      </w:tr>
      <w:tr w:rsidR="00FE0B66" w:rsidRPr="006D082E" w:rsidTr="00FE0B66">
        <w:tc>
          <w:tcPr>
            <w:tcW w:w="1848" w:type="dxa"/>
          </w:tcPr>
          <w:p w:rsidR="00FE0B66" w:rsidRPr="00FE0B66" w:rsidRDefault="00FE0B66" w:rsidP="003C3E49">
            <w:pPr>
              <w:rPr>
                <w:rFonts w:cs="Arial"/>
                <w:szCs w:val="24"/>
              </w:rPr>
            </w:pPr>
            <w:r w:rsidRPr="00FE0B66">
              <w:rPr>
                <w:rFonts w:cs="Arial"/>
                <w:szCs w:val="24"/>
              </w:rPr>
              <w:t>2010-11</w:t>
            </w:r>
          </w:p>
        </w:tc>
        <w:tc>
          <w:tcPr>
            <w:tcW w:w="1848" w:type="dxa"/>
          </w:tcPr>
          <w:p w:rsidR="00FE0B66" w:rsidRPr="00FE0B66" w:rsidRDefault="00FE0B66" w:rsidP="003C3E49">
            <w:pPr>
              <w:rPr>
                <w:rFonts w:cs="Arial"/>
                <w:szCs w:val="24"/>
              </w:rPr>
            </w:pPr>
            <w:r w:rsidRPr="00FE0B66">
              <w:rPr>
                <w:rFonts w:cs="Arial"/>
                <w:szCs w:val="24"/>
              </w:rPr>
              <w:t>4.7%</w:t>
            </w:r>
          </w:p>
        </w:tc>
        <w:tc>
          <w:tcPr>
            <w:tcW w:w="1848" w:type="dxa"/>
          </w:tcPr>
          <w:p w:rsidR="00FE0B66" w:rsidRPr="00FE0B66" w:rsidRDefault="00FE0B66" w:rsidP="003C3E49">
            <w:pPr>
              <w:rPr>
                <w:rFonts w:cs="Arial"/>
                <w:szCs w:val="24"/>
              </w:rPr>
            </w:pPr>
            <w:r w:rsidRPr="00FE0B66">
              <w:rPr>
                <w:rFonts w:cs="Arial"/>
                <w:szCs w:val="24"/>
              </w:rPr>
              <w:t>5.1%</w:t>
            </w:r>
          </w:p>
        </w:tc>
        <w:tc>
          <w:tcPr>
            <w:tcW w:w="1849" w:type="dxa"/>
          </w:tcPr>
          <w:p w:rsidR="00FE0B66" w:rsidRPr="00FE0B66" w:rsidRDefault="00FE0B66" w:rsidP="003C3E49">
            <w:pPr>
              <w:rPr>
                <w:rFonts w:cs="Arial"/>
                <w:szCs w:val="24"/>
              </w:rPr>
            </w:pPr>
            <w:r w:rsidRPr="00FE0B66">
              <w:rPr>
                <w:rFonts w:cs="Arial"/>
                <w:szCs w:val="24"/>
              </w:rPr>
              <w:t>4.6%</w:t>
            </w:r>
          </w:p>
        </w:tc>
        <w:tc>
          <w:tcPr>
            <w:tcW w:w="1849" w:type="dxa"/>
          </w:tcPr>
          <w:p w:rsidR="00FE0B66" w:rsidRPr="00FE0B66" w:rsidRDefault="00FE0B66" w:rsidP="003C3E49">
            <w:pPr>
              <w:rPr>
                <w:rFonts w:cs="Arial"/>
                <w:szCs w:val="24"/>
              </w:rPr>
            </w:pPr>
            <w:r w:rsidRPr="00FE0B66">
              <w:rPr>
                <w:rFonts w:cs="Arial"/>
                <w:szCs w:val="24"/>
              </w:rPr>
              <w:t>5.2%</w:t>
            </w:r>
          </w:p>
        </w:tc>
      </w:tr>
      <w:tr w:rsidR="00FE0B66" w:rsidRPr="006D082E" w:rsidTr="00FE0B66">
        <w:tc>
          <w:tcPr>
            <w:tcW w:w="1848" w:type="dxa"/>
          </w:tcPr>
          <w:p w:rsidR="00FE0B66" w:rsidRPr="00FE0B66" w:rsidRDefault="00FE0B66" w:rsidP="003C3E49">
            <w:pPr>
              <w:rPr>
                <w:rFonts w:cs="Arial"/>
                <w:szCs w:val="24"/>
              </w:rPr>
            </w:pPr>
            <w:r w:rsidRPr="00FE0B66">
              <w:rPr>
                <w:rFonts w:cs="Arial"/>
                <w:szCs w:val="24"/>
              </w:rPr>
              <w:t>2011-12</w:t>
            </w:r>
          </w:p>
        </w:tc>
        <w:tc>
          <w:tcPr>
            <w:tcW w:w="1848" w:type="dxa"/>
          </w:tcPr>
          <w:p w:rsidR="00FE0B66" w:rsidRPr="00FE0B66" w:rsidRDefault="00FE0B66" w:rsidP="003C3E49">
            <w:pPr>
              <w:rPr>
                <w:rFonts w:cs="Arial"/>
                <w:szCs w:val="24"/>
              </w:rPr>
            </w:pPr>
            <w:r w:rsidRPr="00FE0B66">
              <w:rPr>
                <w:rFonts w:cs="Arial"/>
                <w:szCs w:val="24"/>
              </w:rPr>
              <w:t>3.9%</w:t>
            </w:r>
          </w:p>
        </w:tc>
        <w:tc>
          <w:tcPr>
            <w:tcW w:w="1848" w:type="dxa"/>
          </w:tcPr>
          <w:p w:rsidR="00FE0B66" w:rsidRPr="00FE0B66" w:rsidRDefault="00FE0B66" w:rsidP="003C3E49">
            <w:pPr>
              <w:rPr>
                <w:rFonts w:cs="Arial"/>
                <w:szCs w:val="24"/>
              </w:rPr>
            </w:pPr>
            <w:r w:rsidRPr="00FE0B66">
              <w:rPr>
                <w:rFonts w:cs="Arial"/>
                <w:szCs w:val="24"/>
              </w:rPr>
              <w:t>4.4%</w:t>
            </w:r>
          </w:p>
        </w:tc>
        <w:tc>
          <w:tcPr>
            <w:tcW w:w="1849" w:type="dxa"/>
          </w:tcPr>
          <w:p w:rsidR="00FE0B66" w:rsidRPr="00FE0B66" w:rsidRDefault="00FE0B66" w:rsidP="003C3E49">
            <w:pPr>
              <w:rPr>
                <w:rFonts w:cs="Arial"/>
                <w:szCs w:val="24"/>
              </w:rPr>
            </w:pPr>
            <w:r w:rsidRPr="00FE0B66">
              <w:rPr>
                <w:rFonts w:cs="Arial"/>
                <w:szCs w:val="24"/>
              </w:rPr>
              <w:t>2.8%</w:t>
            </w:r>
          </w:p>
        </w:tc>
        <w:tc>
          <w:tcPr>
            <w:tcW w:w="1849" w:type="dxa"/>
          </w:tcPr>
          <w:p w:rsidR="00FE0B66" w:rsidRPr="00FE0B66" w:rsidRDefault="00FE0B66" w:rsidP="003C3E49">
            <w:pPr>
              <w:rPr>
                <w:rFonts w:cs="Arial"/>
                <w:szCs w:val="24"/>
              </w:rPr>
            </w:pPr>
            <w:r w:rsidRPr="00FE0B66">
              <w:rPr>
                <w:rFonts w:cs="Arial"/>
                <w:szCs w:val="24"/>
              </w:rPr>
              <w:t>3.4%</w:t>
            </w:r>
          </w:p>
        </w:tc>
      </w:tr>
      <w:tr w:rsidR="00FE0B66" w:rsidRPr="006D082E" w:rsidTr="00FE0B66">
        <w:tc>
          <w:tcPr>
            <w:tcW w:w="1848" w:type="dxa"/>
          </w:tcPr>
          <w:p w:rsidR="00FE0B66" w:rsidRPr="00FE0B66" w:rsidRDefault="00FE0B66" w:rsidP="003C3E49">
            <w:pPr>
              <w:rPr>
                <w:rFonts w:cs="Arial"/>
                <w:szCs w:val="24"/>
              </w:rPr>
            </w:pPr>
            <w:r w:rsidRPr="00FE0B66">
              <w:rPr>
                <w:rFonts w:cs="Arial"/>
                <w:szCs w:val="24"/>
              </w:rPr>
              <w:t>2012-13</w:t>
            </w:r>
          </w:p>
        </w:tc>
        <w:tc>
          <w:tcPr>
            <w:tcW w:w="1848" w:type="dxa"/>
          </w:tcPr>
          <w:p w:rsidR="00FE0B66" w:rsidRPr="00FE0B66" w:rsidRDefault="00FE0B66" w:rsidP="003C3E49">
            <w:pPr>
              <w:rPr>
                <w:rFonts w:cs="Arial"/>
                <w:szCs w:val="24"/>
              </w:rPr>
            </w:pPr>
            <w:r w:rsidRPr="00FE0B66">
              <w:rPr>
                <w:rFonts w:cs="Arial"/>
                <w:szCs w:val="24"/>
              </w:rPr>
              <w:t>4.4%</w:t>
            </w:r>
          </w:p>
        </w:tc>
        <w:tc>
          <w:tcPr>
            <w:tcW w:w="1848" w:type="dxa"/>
          </w:tcPr>
          <w:p w:rsidR="00FE0B66" w:rsidRPr="00FE0B66" w:rsidRDefault="00FE0B66" w:rsidP="003C3E49">
            <w:pPr>
              <w:rPr>
                <w:rFonts w:cs="Arial"/>
                <w:szCs w:val="24"/>
              </w:rPr>
            </w:pPr>
            <w:r w:rsidRPr="00FE0B66">
              <w:rPr>
                <w:rFonts w:cs="Arial"/>
                <w:szCs w:val="24"/>
              </w:rPr>
              <w:t>4.8%</w:t>
            </w:r>
          </w:p>
        </w:tc>
        <w:tc>
          <w:tcPr>
            <w:tcW w:w="1849" w:type="dxa"/>
          </w:tcPr>
          <w:p w:rsidR="00FE0B66" w:rsidRPr="00FE0B66" w:rsidRDefault="00FE0B66" w:rsidP="003C3E49">
            <w:pPr>
              <w:rPr>
                <w:rFonts w:cs="Arial"/>
                <w:szCs w:val="24"/>
              </w:rPr>
            </w:pPr>
            <w:r w:rsidRPr="00FE0B66">
              <w:rPr>
                <w:rFonts w:cs="Arial"/>
                <w:szCs w:val="24"/>
              </w:rPr>
              <w:t>2.9%</w:t>
            </w:r>
          </w:p>
        </w:tc>
        <w:tc>
          <w:tcPr>
            <w:tcW w:w="1849" w:type="dxa"/>
          </w:tcPr>
          <w:p w:rsidR="00FE0B66" w:rsidRPr="00FE0B66" w:rsidRDefault="00FE0B66" w:rsidP="003C3E49">
            <w:pPr>
              <w:rPr>
                <w:rFonts w:cs="Arial"/>
                <w:szCs w:val="24"/>
              </w:rPr>
            </w:pPr>
            <w:r w:rsidRPr="00FE0B66">
              <w:rPr>
                <w:rFonts w:cs="Arial"/>
                <w:szCs w:val="24"/>
              </w:rPr>
              <w:t>3.6%</w:t>
            </w:r>
          </w:p>
        </w:tc>
      </w:tr>
    </w:tbl>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lastRenderedPageBreak/>
        <w:t>Secondary</w:t>
      </w:r>
      <w:r>
        <w:rPr>
          <w:rFonts w:ascii="Arial" w:hAnsi="Arial" w:cs="Arial"/>
          <w:sz w:val="24"/>
          <w:szCs w:val="24"/>
        </w:rPr>
        <w:t xml:space="preserve"> (</w:t>
      </w:r>
      <w:r w:rsidRPr="000D6783">
        <w:rPr>
          <w:rFonts w:ascii="Arial" w:hAnsi="Arial" w:cs="Arial"/>
          <w:sz w:val="24"/>
          <w:szCs w:val="24"/>
        </w:rPr>
        <w:t>Whole Year Data (Half Terms 1-5)</w:t>
      </w:r>
    </w:p>
    <w:p w:rsidR="00FE0B66" w:rsidRPr="000D6783" w:rsidRDefault="00FE0B66" w:rsidP="00FE0B66">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School Year</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LCC OA%</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England OA%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LCC PA%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England PA%</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p>
        </w:tc>
        <w:tc>
          <w:tcPr>
            <w:tcW w:w="1848" w:type="dxa"/>
          </w:tcPr>
          <w:p w:rsidR="00FE0B66" w:rsidRPr="002A4C32" w:rsidRDefault="00FE0B66" w:rsidP="00FE0B66">
            <w:pPr>
              <w:pStyle w:val="NoSpacing"/>
              <w:jc w:val="both"/>
              <w:rPr>
                <w:rFonts w:ascii="Arial" w:hAnsi="Arial" w:cs="Arial"/>
                <w:sz w:val="24"/>
                <w:szCs w:val="24"/>
              </w:rPr>
            </w:pPr>
          </w:p>
        </w:tc>
        <w:tc>
          <w:tcPr>
            <w:tcW w:w="1848" w:type="dxa"/>
          </w:tcPr>
          <w:p w:rsidR="00FE0B66" w:rsidRPr="002A4C32" w:rsidRDefault="00FE0B66" w:rsidP="00FE0B66">
            <w:pPr>
              <w:pStyle w:val="NoSpacing"/>
              <w:jc w:val="both"/>
              <w:rPr>
                <w:rFonts w:ascii="Arial" w:hAnsi="Arial" w:cs="Arial"/>
                <w:sz w:val="24"/>
                <w:szCs w:val="24"/>
              </w:rPr>
            </w:pPr>
          </w:p>
        </w:tc>
        <w:tc>
          <w:tcPr>
            <w:tcW w:w="1849" w:type="dxa"/>
          </w:tcPr>
          <w:p w:rsidR="00FE0B66" w:rsidRPr="002A4C32" w:rsidRDefault="00FE0B66" w:rsidP="00FE0B66">
            <w:pPr>
              <w:pStyle w:val="NoSpacing"/>
              <w:jc w:val="both"/>
              <w:rPr>
                <w:rFonts w:ascii="Arial" w:hAnsi="Arial" w:cs="Arial"/>
                <w:sz w:val="24"/>
                <w:szCs w:val="24"/>
              </w:rPr>
            </w:pPr>
          </w:p>
        </w:tc>
        <w:tc>
          <w:tcPr>
            <w:tcW w:w="1849" w:type="dxa"/>
          </w:tcPr>
          <w:p w:rsidR="00FE0B66" w:rsidRPr="002A4C32" w:rsidRDefault="00FE0B66" w:rsidP="00FE0B66">
            <w:pPr>
              <w:pStyle w:val="NoSpacing"/>
              <w:jc w:val="both"/>
              <w:rPr>
                <w:rFonts w:ascii="Arial" w:hAnsi="Arial" w:cs="Arial"/>
                <w:sz w:val="24"/>
                <w:szCs w:val="24"/>
              </w:rPr>
            </w:pP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2009-10</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6.7%</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6.9%</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N/A</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N/A</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2010-11</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6.0%</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6.5%</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7.4%</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8.4%</w:t>
            </w:r>
          </w:p>
        </w:tc>
      </w:tr>
      <w:tr w:rsidR="00FE0B66" w:rsidRPr="000D6783" w:rsidTr="00FE0B66">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2011-12</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5.3%</w:t>
            </w:r>
          </w:p>
        </w:tc>
        <w:tc>
          <w:tcPr>
            <w:tcW w:w="1848"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5.9%</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6.0%</w:t>
            </w:r>
          </w:p>
        </w:tc>
        <w:tc>
          <w:tcPr>
            <w:tcW w:w="1849" w:type="dxa"/>
          </w:tcPr>
          <w:p w:rsidR="00FE0B66" w:rsidRPr="002A4C32" w:rsidRDefault="00FE0B66" w:rsidP="00FE0B66">
            <w:pPr>
              <w:pStyle w:val="NoSpacing"/>
              <w:jc w:val="both"/>
              <w:rPr>
                <w:rFonts w:ascii="Arial" w:hAnsi="Arial" w:cs="Arial"/>
                <w:sz w:val="24"/>
                <w:szCs w:val="24"/>
              </w:rPr>
            </w:pPr>
            <w:r w:rsidRPr="002A4C32">
              <w:rPr>
                <w:rFonts w:ascii="Arial" w:hAnsi="Arial" w:cs="Arial"/>
                <w:sz w:val="24"/>
                <w:szCs w:val="24"/>
              </w:rPr>
              <w:t>7.4%</w:t>
            </w:r>
          </w:p>
        </w:tc>
      </w:tr>
    </w:tbl>
    <w:p w:rsidR="00FE0B66" w:rsidRPr="000D6783" w:rsidRDefault="00FE0B66" w:rsidP="00FE0B66">
      <w:pPr>
        <w:pStyle w:val="NoSpacing"/>
        <w:jc w:val="both"/>
        <w:rPr>
          <w:rFonts w:ascii="Arial" w:hAnsi="Arial" w:cs="Arial"/>
          <w:sz w:val="24"/>
          <w:szCs w:val="24"/>
        </w:rPr>
      </w:pPr>
    </w:p>
    <w:p w:rsidR="00FE0B66" w:rsidRPr="00820931" w:rsidRDefault="00FE0B66" w:rsidP="00FE0B66">
      <w:pPr>
        <w:rPr>
          <w:rFonts w:cs="Arial"/>
          <w:szCs w:val="24"/>
        </w:rPr>
      </w:pPr>
      <w:r w:rsidRPr="00820931">
        <w:rPr>
          <w:rFonts w:cs="Arial"/>
          <w:szCs w:val="24"/>
        </w:rPr>
        <w:t>Secondary (Autumn and Spring Terms combined Half Terms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E0B66" w:rsidRPr="00820931" w:rsidTr="00FE0B66">
        <w:tc>
          <w:tcPr>
            <w:tcW w:w="1848" w:type="dxa"/>
          </w:tcPr>
          <w:p w:rsidR="00FE0B66" w:rsidRPr="00FE0B66" w:rsidRDefault="00FE0B66" w:rsidP="003C3E49">
            <w:pPr>
              <w:rPr>
                <w:rFonts w:cs="Arial"/>
                <w:szCs w:val="24"/>
              </w:rPr>
            </w:pPr>
            <w:r w:rsidRPr="00FE0B66">
              <w:rPr>
                <w:rFonts w:cs="Arial"/>
                <w:szCs w:val="24"/>
              </w:rPr>
              <w:t>School Year</w:t>
            </w:r>
          </w:p>
        </w:tc>
        <w:tc>
          <w:tcPr>
            <w:tcW w:w="1848" w:type="dxa"/>
          </w:tcPr>
          <w:p w:rsidR="00FE0B66" w:rsidRPr="00FE0B66" w:rsidRDefault="00FE0B66" w:rsidP="003C3E49">
            <w:pPr>
              <w:rPr>
                <w:rFonts w:cs="Arial"/>
                <w:szCs w:val="24"/>
              </w:rPr>
            </w:pPr>
            <w:r w:rsidRPr="00FE0B66">
              <w:rPr>
                <w:rFonts w:cs="Arial"/>
                <w:szCs w:val="24"/>
              </w:rPr>
              <w:t>LCC OA%</w:t>
            </w:r>
          </w:p>
        </w:tc>
        <w:tc>
          <w:tcPr>
            <w:tcW w:w="1848" w:type="dxa"/>
          </w:tcPr>
          <w:p w:rsidR="00FE0B66" w:rsidRPr="00FE0B66" w:rsidRDefault="00FE0B66" w:rsidP="003C3E49">
            <w:pPr>
              <w:rPr>
                <w:rFonts w:cs="Arial"/>
                <w:szCs w:val="24"/>
              </w:rPr>
            </w:pPr>
            <w:r w:rsidRPr="00FE0B66">
              <w:rPr>
                <w:rFonts w:cs="Arial"/>
                <w:szCs w:val="24"/>
              </w:rPr>
              <w:t>England OA%</w:t>
            </w:r>
          </w:p>
        </w:tc>
        <w:tc>
          <w:tcPr>
            <w:tcW w:w="1849" w:type="dxa"/>
          </w:tcPr>
          <w:p w:rsidR="00FE0B66" w:rsidRPr="00FE0B66" w:rsidRDefault="00FE0B66" w:rsidP="003C3E49">
            <w:pPr>
              <w:rPr>
                <w:rFonts w:cs="Arial"/>
                <w:szCs w:val="24"/>
              </w:rPr>
            </w:pPr>
            <w:r w:rsidRPr="00FE0B66">
              <w:rPr>
                <w:rFonts w:cs="Arial"/>
                <w:szCs w:val="24"/>
              </w:rPr>
              <w:t>LCC PA%</w:t>
            </w:r>
          </w:p>
        </w:tc>
        <w:tc>
          <w:tcPr>
            <w:tcW w:w="1849" w:type="dxa"/>
          </w:tcPr>
          <w:p w:rsidR="00FE0B66" w:rsidRPr="00FE0B66" w:rsidRDefault="00FE0B66" w:rsidP="003C3E49">
            <w:pPr>
              <w:rPr>
                <w:rFonts w:cs="Arial"/>
                <w:szCs w:val="24"/>
              </w:rPr>
            </w:pPr>
            <w:r w:rsidRPr="00FE0B66">
              <w:rPr>
                <w:rFonts w:cs="Arial"/>
                <w:szCs w:val="24"/>
              </w:rPr>
              <w:t>England PA%</w:t>
            </w:r>
          </w:p>
        </w:tc>
      </w:tr>
      <w:tr w:rsidR="00FE0B66" w:rsidRPr="00820931" w:rsidTr="00FE0B66">
        <w:tc>
          <w:tcPr>
            <w:tcW w:w="1848" w:type="dxa"/>
          </w:tcPr>
          <w:p w:rsidR="00FE0B66" w:rsidRPr="00FE0B66" w:rsidRDefault="00FE0B66" w:rsidP="003C3E49">
            <w:pPr>
              <w:rPr>
                <w:rFonts w:cs="Arial"/>
                <w:szCs w:val="24"/>
              </w:rPr>
            </w:pPr>
          </w:p>
        </w:tc>
        <w:tc>
          <w:tcPr>
            <w:tcW w:w="1848" w:type="dxa"/>
          </w:tcPr>
          <w:p w:rsidR="00FE0B66" w:rsidRPr="00FE0B66" w:rsidRDefault="00FE0B66" w:rsidP="003C3E49">
            <w:pPr>
              <w:rPr>
                <w:rFonts w:cs="Arial"/>
                <w:szCs w:val="24"/>
              </w:rPr>
            </w:pPr>
          </w:p>
        </w:tc>
        <w:tc>
          <w:tcPr>
            <w:tcW w:w="1848" w:type="dxa"/>
          </w:tcPr>
          <w:p w:rsidR="00FE0B66" w:rsidRPr="00FE0B66" w:rsidRDefault="00FE0B66" w:rsidP="003C3E49">
            <w:pPr>
              <w:rPr>
                <w:rFonts w:cs="Arial"/>
                <w:szCs w:val="24"/>
              </w:rPr>
            </w:pPr>
          </w:p>
        </w:tc>
        <w:tc>
          <w:tcPr>
            <w:tcW w:w="1849" w:type="dxa"/>
          </w:tcPr>
          <w:p w:rsidR="00FE0B66" w:rsidRPr="00FE0B66" w:rsidRDefault="00FE0B66" w:rsidP="003C3E49">
            <w:pPr>
              <w:rPr>
                <w:rFonts w:cs="Arial"/>
                <w:szCs w:val="24"/>
              </w:rPr>
            </w:pPr>
          </w:p>
        </w:tc>
        <w:tc>
          <w:tcPr>
            <w:tcW w:w="1849" w:type="dxa"/>
          </w:tcPr>
          <w:p w:rsidR="00FE0B66" w:rsidRPr="00FE0B66" w:rsidRDefault="00FE0B66" w:rsidP="003C3E49">
            <w:pPr>
              <w:rPr>
                <w:rFonts w:cs="Arial"/>
                <w:szCs w:val="24"/>
              </w:rPr>
            </w:pPr>
          </w:p>
        </w:tc>
      </w:tr>
      <w:tr w:rsidR="00FE0B66" w:rsidRPr="00820931" w:rsidTr="00FE0B66">
        <w:tc>
          <w:tcPr>
            <w:tcW w:w="1848" w:type="dxa"/>
          </w:tcPr>
          <w:p w:rsidR="00FE0B66" w:rsidRPr="00FE0B66" w:rsidRDefault="00FE0B66" w:rsidP="003C3E49">
            <w:pPr>
              <w:rPr>
                <w:rFonts w:cs="Arial"/>
                <w:szCs w:val="24"/>
              </w:rPr>
            </w:pPr>
            <w:r w:rsidRPr="00FE0B66">
              <w:rPr>
                <w:rFonts w:cs="Arial"/>
                <w:szCs w:val="24"/>
              </w:rPr>
              <w:t>2010-11</w:t>
            </w:r>
          </w:p>
        </w:tc>
        <w:tc>
          <w:tcPr>
            <w:tcW w:w="1848" w:type="dxa"/>
          </w:tcPr>
          <w:p w:rsidR="00FE0B66" w:rsidRPr="00FE0B66" w:rsidRDefault="00FE0B66" w:rsidP="003C3E49">
            <w:pPr>
              <w:rPr>
                <w:rFonts w:cs="Arial"/>
                <w:szCs w:val="24"/>
              </w:rPr>
            </w:pPr>
            <w:r w:rsidRPr="00FE0B66">
              <w:rPr>
                <w:rFonts w:cs="Arial"/>
                <w:szCs w:val="24"/>
              </w:rPr>
              <w:t>5.9%</w:t>
            </w:r>
          </w:p>
        </w:tc>
        <w:tc>
          <w:tcPr>
            <w:tcW w:w="1848" w:type="dxa"/>
          </w:tcPr>
          <w:p w:rsidR="00FE0B66" w:rsidRPr="00FE0B66" w:rsidRDefault="00FE0B66" w:rsidP="003C3E49">
            <w:pPr>
              <w:rPr>
                <w:rFonts w:cs="Arial"/>
                <w:szCs w:val="24"/>
              </w:rPr>
            </w:pPr>
            <w:r w:rsidRPr="00FE0B66">
              <w:rPr>
                <w:rFonts w:cs="Arial"/>
                <w:szCs w:val="24"/>
              </w:rPr>
              <w:t>6.5%</w:t>
            </w:r>
          </w:p>
        </w:tc>
        <w:tc>
          <w:tcPr>
            <w:tcW w:w="1849" w:type="dxa"/>
          </w:tcPr>
          <w:p w:rsidR="00FE0B66" w:rsidRPr="00FE0B66" w:rsidRDefault="00FE0B66" w:rsidP="003C3E49">
            <w:pPr>
              <w:rPr>
                <w:rFonts w:cs="Arial"/>
                <w:szCs w:val="24"/>
              </w:rPr>
            </w:pPr>
            <w:r w:rsidRPr="00FE0B66">
              <w:rPr>
                <w:rFonts w:cs="Arial"/>
                <w:szCs w:val="24"/>
              </w:rPr>
              <w:t>8.3%</w:t>
            </w:r>
          </w:p>
        </w:tc>
        <w:tc>
          <w:tcPr>
            <w:tcW w:w="1849" w:type="dxa"/>
          </w:tcPr>
          <w:p w:rsidR="00FE0B66" w:rsidRPr="00FE0B66" w:rsidRDefault="00FE0B66" w:rsidP="003C3E49">
            <w:pPr>
              <w:rPr>
                <w:rFonts w:cs="Arial"/>
                <w:szCs w:val="24"/>
              </w:rPr>
            </w:pPr>
            <w:r w:rsidRPr="00FE0B66">
              <w:rPr>
                <w:rFonts w:cs="Arial"/>
                <w:szCs w:val="24"/>
              </w:rPr>
              <w:t>9.5%</w:t>
            </w:r>
          </w:p>
        </w:tc>
      </w:tr>
      <w:tr w:rsidR="00FE0B66" w:rsidRPr="00820931" w:rsidTr="00FE0B66">
        <w:tc>
          <w:tcPr>
            <w:tcW w:w="1848" w:type="dxa"/>
          </w:tcPr>
          <w:p w:rsidR="00FE0B66" w:rsidRPr="00FE0B66" w:rsidRDefault="00FE0B66" w:rsidP="003C3E49">
            <w:pPr>
              <w:rPr>
                <w:rFonts w:cs="Arial"/>
                <w:szCs w:val="24"/>
              </w:rPr>
            </w:pPr>
            <w:r w:rsidRPr="00FE0B66">
              <w:rPr>
                <w:rFonts w:cs="Arial"/>
                <w:szCs w:val="24"/>
              </w:rPr>
              <w:t>2011-12</w:t>
            </w:r>
          </w:p>
        </w:tc>
        <w:tc>
          <w:tcPr>
            <w:tcW w:w="1848" w:type="dxa"/>
          </w:tcPr>
          <w:p w:rsidR="00FE0B66" w:rsidRPr="00FE0B66" w:rsidRDefault="00FE0B66" w:rsidP="003C3E49">
            <w:pPr>
              <w:rPr>
                <w:rFonts w:cs="Arial"/>
                <w:szCs w:val="24"/>
              </w:rPr>
            </w:pPr>
            <w:r w:rsidRPr="00FE0B66">
              <w:rPr>
                <w:rFonts w:cs="Arial"/>
                <w:szCs w:val="24"/>
              </w:rPr>
              <w:t>5.1%</w:t>
            </w:r>
          </w:p>
        </w:tc>
        <w:tc>
          <w:tcPr>
            <w:tcW w:w="1848" w:type="dxa"/>
          </w:tcPr>
          <w:p w:rsidR="00FE0B66" w:rsidRPr="00FE0B66" w:rsidRDefault="00FE0B66" w:rsidP="003C3E49">
            <w:pPr>
              <w:rPr>
                <w:rFonts w:cs="Arial"/>
                <w:szCs w:val="24"/>
              </w:rPr>
            </w:pPr>
            <w:r w:rsidRPr="00FE0B66">
              <w:rPr>
                <w:rFonts w:cs="Arial"/>
                <w:szCs w:val="24"/>
              </w:rPr>
              <w:t>5.7%</w:t>
            </w:r>
          </w:p>
        </w:tc>
        <w:tc>
          <w:tcPr>
            <w:tcW w:w="1849" w:type="dxa"/>
          </w:tcPr>
          <w:p w:rsidR="00FE0B66" w:rsidRPr="00FE0B66" w:rsidRDefault="00FE0B66" w:rsidP="003C3E49">
            <w:pPr>
              <w:rPr>
                <w:rFonts w:cs="Arial"/>
                <w:szCs w:val="24"/>
              </w:rPr>
            </w:pPr>
            <w:r w:rsidRPr="00FE0B66">
              <w:rPr>
                <w:rFonts w:cs="Arial"/>
                <w:szCs w:val="24"/>
              </w:rPr>
              <w:t>5.4%</w:t>
            </w:r>
          </w:p>
        </w:tc>
        <w:tc>
          <w:tcPr>
            <w:tcW w:w="1849" w:type="dxa"/>
          </w:tcPr>
          <w:p w:rsidR="00FE0B66" w:rsidRPr="00FE0B66" w:rsidRDefault="00FE0B66" w:rsidP="003C3E49">
            <w:pPr>
              <w:rPr>
                <w:rFonts w:cs="Arial"/>
                <w:szCs w:val="24"/>
              </w:rPr>
            </w:pPr>
            <w:r w:rsidRPr="00FE0B66">
              <w:rPr>
                <w:rFonts w:cs="Arial"/>
                <w:szCs w:val="24"/>
              </w:rPr>
              <w:t>6.8%</w:t>
            </w:r>
          </w:p>
        </w:tc>
      </w:tr>
      <w:tr w:rsidR="00FE0B66" w:rsidRPr="00820931" w:rsidTr="00FE0B66">
        <w:tc>
          <w:tcPr>
            <w:tcW w:w="1848" w:type="dxa"/>
          </w:tcPr>
          <w:p w:rsidR="00FE0B66" w:rsidRPr="00FE0B66" w:rsidRDefault="00FE0B66" w:rsidP="003C3E49">
            <w:pPr>
              <w:rPr>
                <w:rFonts w:cs="Arial"/>
                <w:szCs w:val="24"/>
              </w:rPr>
            </w:pPr>
            <w:r w:rsidRPr="00FE0B66">
              <w:rPr>
                <w:rFonts w:cs="Arial"/>
                <w:szCs w:val="24"/>
              </w:rPr>
              <w:t>2012-13</w:t>
            </w:r>
          </w:p>
        </w:tc>
        <w:tc>
          <w:tcPr>
            <w:tcW w:w="1848" w:type="dxa"/>
          </w:tcPr>
          <w:p w:rsidR="00FE0B66" w:rsidRPr="00FE0B66" w:rsidRDefault="00FE0B66" w:rsidP="003C3E49">
            <w:pPr>
              <w:rPr>
                <w:rFonts w:cs="Arial"/>
                <w:szCs w:val="24"/>
              </w:rPr>
            </w:pPr>
            <w:r w:rsidRPr="00FE0B66">
              <w:rPr>
                <w:rFonts w:cs="Arial"/>
                <w:szCs w:val="24"/>
              </w:rPr>
              <w:t>5.3%</w:t>
            </w:r>
          </w:p>
        </w:tc>
        <w:tc>
          <w:tcPr>
            <w:tcW w:w="1848" w:type="dxa"/>
          </w:tcPr>
          <w:p w:rsidR="00FE0B66" w:rsidRPr="00FE0B66" w:rsidRDefault="00FE0B66" w:rsidP="003C3E49">
            <w:pPr>
              <w:rPr>
                <w:rFonts w:cs="Arial"/>
                <w:szCs w:val="24"/>
              </w:rPr>
            </w:pPr>
            <w:r w:rsidRPr="00FE0B66">
              <w:rPr>
                <w:rFonts w:cs="Arial"/>
                <w:szCs w:val="24"/>
              </w:rPr>
              <w:t>5.8%</w:t>
            </w:r>
          </w:p>
        </w:tc>
        <w:tc>
          <w:tcPr>
            <w:tcW w:w="1849" w:type="dxa"/>
          </w:tcPr>
          <w:p w:rsidR="00FE0B66" w:rsidRPr="00FE0B66" w:rsidRDefault="00FE0B66" w:rsidP="003C3E49">
            <w:pPr>
              <w:rPr>
                <w:rFonts w:cs="Arial"/>
                <w:szCs w:val="24"/>
              </w:rPr>
            </w:pPr>
            <w:r w:rsidRPr="00FE0B66">
              <w:rPr>
                <w:rFonts w:cs="Arial"/>
                <w:szCs w:val="24"/>
              </w:rPr>
              <w:t>5.5%</w:t>
            </w:r>
          </w:p>
        </w:tc>
        <w:tc>
          <w:tcPr>
            <w:tcW w:w="1849" w:type="dxa"/>
          </w:tcPr>
          <w:p w:rsidR="00FE0B66" w:rsidRPr="00FE0B66" w:rsidRDefault="00FE0B66" w:rsidP="003C3E49">
            <w:pPr>
              <w:rPr>
                <w:rFonts w:cs="Arial"/>
                <w:szCs w:val="24"/>
              </w:rPr>
            </w:pPr>
            <w:r w:rsidRPr="00FE0B66">
              <w:rPr>
                <w:rFonts w:cs="Arial"/>
                <w:szCs w:val="24"/>
              </w:rPr>
              <w:t>6.5%</w:t>
            </w:r>
          </w:p>
        </w:tc>
      </w:tr>
    </w:tbl>
    <w:p w:rsidR="00FE0B66" w:rsidRDefault="00FE0B66" w:rsidP="00FE0B66">
      <w:pPr>
        <w:pStyle w:val="NoSpacing"/>
        <w:jc w:val="both"/>
        <w:rPr>
          <w:rFonts w:ascii="Arial" w:hAnsi="Arial" w:cs="Arial"/>
          <w:sz w:val="24"/>
          <w:szCs w:val="24"/>
        </w:rPr>
      </w:pPr>
    </w:p>
    <w:p w:rsidR="00FE0B66" w:rsidRPr="000D6783" w:rsidRDefault="00FE0B66" w:rsidP="00FE0B66">
      <w:pPr>
        <w:pStyle w:val="NoSpacing"/>
        <w:jc w:val="both"/>
        <w:rPr>
          <w:rFonts w:ascii="Arial" w:hAnsi="Arial" w:cs="Arial"/>
          <w:sz w:val="24"/>
          <w:szCs w:val="24"/>
        </w:rPr>
      </w:pPr>
      <w:r w:rsidRPr="000D6783">
        <w:rPr>
          <w:rFonts w:ascii="Arial" w:hAnsi="Arial" w:cs="Arial"/>
          <w:sz w:val="24"/>
          <w:szCs w:val="24"/>
        </w:rPr>
        <w:t>Special</w:t>
      </w:r>
      <w:r>
        <w:rPr>
          <w:rFonts w:ascii="Arial" w:hAnsi="Arial" w:cs="Arial"/>
          <w:sz w:val="24"/>
          <w:szCs w:val="24"/>
        </w:rPr>
        <w:t xml:space="preserve"> Schools (</w:t>
      </w:r>
      <w:r w:rsidRPr="000D6783">
        <w:rPr>
          <w:rFonts w:ascii="Arial" w:hAnsi="Arial" w:cs="Arial"/>
          <w:sz w:val="24"/>
          <w:szCs w:val="24"/>
        </w:rPr>
        <w:t>Whole Year Data (Half Terms 1-5)</w:t>
      </w:r>
      <w:r>
        <w:rPr>
          <w:rFonts w:ascii="Arial" w:hAnsi="Arial" w:cs="Arial"/>
          <w:sz w:val="24"/>
          <w:szCs w:val="24"/>
        </w:rPr>
        <w:t>**</w:t>
      </w:r>
    </w:p>
    <w:p w:rsidR="00FE0B66" w:rsidRPr="000D6783" w:rsidRDefault="00FE0B66" w:rsidP="00FE0B66">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FE0B66" w:rsidRPr="000D6783" w:rsidTr="00FE0B66">
        <w:tc>
          <w:tcPr>
            <w:tcW w:w="1848" w:type="dxa"/>
          </w:tcPr>
          <w:p w:rsidR="00FE0B66" w:rsidRPr="00FE0B66" w:rsidRDefault="00FE0B66" w:rsidP="00FE0B66">
            <w:pPr>
              <w:jc w:val="both"/>
              <w:rPr>
                <w:rFonts w:cs="Arial"/>
                <w:szCs w:val="24"/>
              </w:rPr>
            </w:pPr>
            <w:r w:rsidRPr="00FE0B66">
              <w:rPr>
                <w:rFonts w:cs="Arial"/>
                <w:szCs w:val="24"/>
              </w:rPr>
              <w:t>School Year</w:t>
            </w:r>
          </w:p>
        </w:tc>
        <w:tc>
          <w:tcPr>
            <w:tcW w:w="1848" w:type="dxa"/>
          </w:tcPr>
          <w:p w:rsidR="00FE0B66" w:rsidRPr="00FE0B66" w:rsidRDefault="00FE0B66" w:rsidP="00FE0B66">
            <w:pPr>
              <w:jc w:val="both"/>
              <w:rPr>
                <w:rFonts w:cs="Arial"/>
                <w:szCs w:val="24"/>
              </w:rPr>
            </w:pPr>
            <w:r w:rsidRPr="00FE0B66">
              <w:rPr>
                <w:rFonts w:cs="Arial"/>
                <w:szCs w:val="24"/>
              </w:rPr>
              <w:t>LCC OA%</w:t>
            </w:r>
          </w:p>
        </w:tc>
        <w:tc>
          <w:tcPr>
            <w:tcW w:w="1848" w:type="dxa"/>
          </w:tcPr>
          <w:p w:rsidR="00FE0B66" w:rsidRPr="00FE0B66" w:rsidRDefault="00FE0B66" w:rsidP="00FE0B66">
            <w:pPr>
              <w:jc w:val="both"/>
              <w:rPr>
                <w:rFonts w:cs="Arial"/>
                <w:szCs w:val="24"/>
              </w:rPr>
            </w:pPr>
            <w:r w:rsidRPr="00FE0B66">
              <w:rPr>
                <w:rFonts w:cs="Arial"/>
                <w:szCs w:val="24"/>
              </w:rPr>
              <w:t>England OA%</w:t>
            </w:r>
          </w:p>
        </w:tc>
        <w:tc>
          <w:tcPr>
            <w:tcW w:w="1849" w:type="dxa"/>
          </w:tcPr>
          <w:p w:rsidR="00FE0B66" w:rsidRPr="00FE0B66" w:rsidRDefault="00FE0B66" w:rsidP="00FE0B66">
            <w:pPr>
              <w:jc w:val="both"/>
              <w:rPr>
                <w:rFonts w:cs="Arial"/>
                <w:szCs w:val="24"/>
              </w:rPr>
            </w:pPr>
            <w:r w:rsidRPr="00FE0B66">
              <w:rPr>
                <w:rFonts w:cs="Arial"/>
                <w:szCs w:val="24"/>
              </w:rPr>
              <w:t>LCC PA%</w:t>
            </w:r>
          </w:p>
        </w:tc>
        <w:tc>
          <w:tcPr>
            <w:tcW w:w="1849" w:type="dxa"/>
          </w:tcPr>
          <w:p w:rsidR="00FE0B66" w:rsidRPr="00FE0B66" w:rsidRDefault="00FE0B66" w:rsidP="00FE0B66">
            <w:pPr>
              <w:jc w:val="both"/>
              <w:rPr>
                <w:rFonts w:cs="Arial"/>
                <w:szCs w:val="24"/>
              </w:rPr>
            </w:pPr>
            <w:r w:rsidRPr="00FE0B66">
              <w:rPr>
                <w:rFonts w:cs="Arial"/>
                <w:szCs w:val="24"/>
              </w:rPr>
              <w:t>England PA%</w:t>
            </w:r>
          </w:p>
        </w:tc>
      </w:tr>
      <w:tr w:rsidR="00FE0B66" w:rsidRPr="000D6783" w:rsidTr="00FE0B66">
        <w:tc>
          <w:tcPr>
            <w:tcW w:w="1848" w:type="dxa"/>
          </w:tcPr>
          <w:p w:rsidR="00FE0B66" w:rsidRPr="00FE0B66" w:rsidRDefault="00FE0B66" w:rsidP="00FE0B66">
            <w:pPr>
              <w:jc w:val="both"/>
              <w:rPr>
                <w:rFonts w:cs="Arial"/>
                <w:szCs w:val="24"/>
              </w:rPr>
            </w:pPr>
          </w:p>
        </w:tc>
        <w:tc>
          <w:tcPr>
            <w:tcW w:w="1848" w:type="dxa"/>
          </w:tcPr>
          <w:p w:rsidR="00FE0B66" w:rsidRPr="00FE0B66" w:rsidRDefault="00FE0B66" w:rsidP="00FE0B66">
            <w:pPr>
              <w:jc w:val="both"/>
              <w:rPr>
                <w:rFonts w:cs="Arial"/>
                <w:szCs w:val="24"/>
              </w:rPr>
            </w:pPr>
          </w:p>
        </w:tc>
        <w:tc>
          <w:tcPr>
            <w:tcW w:w="1848" w:type="dxa"/>
          </w:tcPr>
          <w:p w:rsidR="00FE0B66" w:rsidRPr="00FE0B66" w:rsidRDefault="00FE0B66" w:rsidP="00FE0B66">
            <w:pPr>
              <w:jc w:val="both"/>
              <w:rPr>
                <w:rFonts w:cs="Arial"/>
                <w:szCs w:val="24"/>
              </w:rPr>
            </w:pPr>
          </w:p>
        </w:tc>
        <w:tc>
          <w:tcPr>
            <w:tcW w:w="1849" w:type="dxa"/>
          </w:tcPr>
          <w:p w:rsidR="00FE0B66" w:rsidRPr="00FE0B66" w:rsidRDefault="00FE0B66" w:rsidP="00FE0B66">
            <w:pPr>
              <w:jc w:val="both"/>
              <w:rPr>
                <w:rFonts w:cs="Arial"/>
                <w:szCs w:val="24"/>
              </w:rPr>
            </w:pPr>
          </w:p>
        </w:tc>
        <w:tc>
          <w:tcPr>
            <w:tcW w:w="1849" w:type="dxa"/>
          </w:tcPr>
          <w:p w:rsidR="00FE0B66" w:rsidRPr="00FE0B66" w:rsidRDefault="00FE0B66" w:rsidP="00FE0B66">
            <w:pPr>
              <w:jc w:val="both"/>
              <w:rPr>
                <w:rFonts w:cs="Arial"/>
                <w:szCs w:val="24"/>
              </w:rPr>
            </w:pPr>
          </w:p>
        </w:tc>
      </w:tr>
      <w:tr w:rsidR="00FE0B66" w:rsidRPr="000D6783" w:rsidTr="00FE0B66">
        <w:tc>
          <w:tcPr>
            <w:tcW w:w="1848" w:type="dxa"/>
          </w:tcPr>
          <w:p w:rsidR="00FE0B66" w:rsidRPr="00FE0B66" w:rsidRDefault="00FE0B66" w:rsidP="00FE0B66">
            <w:pPr>
              <w:jc w:val="both"/>
              <w:rPr>
                <w:rFonts w:cs="Arial"/>
                <w:szCs w:val="24"/>
              </w:rPr>
            </w:pPr>
            <w:r w:rsidRPr="00FE0B66">
              <w:rPr>
                <w:rFonts w:cs="Arial"/>
                <w:szCs w:val="24"/>
              </w:rPr>
              <w:t>2009-10</w:t>
            </w:r>
          </w:p>
        </w:tc>
        <w:tc>
          <w:tcPr>
            <w:tcW w:w="1848" w:type="dxa"/>
          </w:tcPr>
          <w:p w:rsidR="00FE0B66" w:rsidRPr="00FE0B66" w:rsidRDefault="00FE0B66" w:rsidP="00FE0B66">
            <w:pPr>
              <w:jc w:val="both"/>
              <w:rPr>
                <w:rFonts w:cs="Arial"/>
                <w:szCs w:val="24"/>
              </w:rPr>
            </w:pPr>
            <w:r w:rsidRPr="00FE0B66">
              <w:rPr>
                <w:rFonts w:cs="Arial"/>
                <w:szCs w:val="24"/>
              </w:rPr>
              <w:t>9.2%</w:t>
            </w:r>
          </w:p>
        </w:tc>
        <w:tc>
          <w:tcPr>
            <w:tcW w:w="1848" w:type="dxa"/>
          </w:tcPr>
          <w:p w:rsidR="00FE0B66" w:rsidRPr="00FE0B66" w:rsidRDefault="00FE0B66" w:rsidP="00FE0B66">
            <w:pPr>
              <w:jc w:val="both"/>
              <w:rPr>
                <w:rFonts w:cs="Arial"/>
                <w:szCs w:val="24"/>
              </w:rPr>
            </w:pPr>
            <w:r w:rsidRPr="00FE0B66">
              <w:rPr>
                <w:rFonts w:cs="Arial"/>
                <w:szCs w:val="24"/>
              </w:rPr>
              <w:t>10.3%</w:t>
            </w:r>
          </w:p>
        </w:tc>
        <w:tc>
          <w:tcPr>
            <w:tcW w:w="1849" w:type="dxa"/>
          </w:tcPr>
          <w:p w:rsidR="00FE0B66" w:rsidRPr="00FE0B66" w:rsidRDefault="00FE0B66" w:rsidP="00FE0B66">
            <w:pPr>
              <w:jc w:val="both"/>
              <w:rPr>
                <w:rFonts w:cs="Arial"/>
                <w:szCs w:val="24"/>
              </w:rPr>
            </w:pPr>
            <w:r w:rsidRPr="00FE0B66">
              <w:rPr>
                <w:rFonts w:cs="Arial"/>
                <w:szCs w:val="24"/>
              </w:rPr>
              <w:t>N/A</w:t>
            </w:r>
          </w:p>
        </w:tc>
        <w:tc>
          <w:tcPr>
            <w:tcW w:w="1849" w:type="dxa"/>
          </w:tcPr>
          <w:p w:rsidR="00FE0B66" w:rsidRPr="00FE0B66" w:rsidRDefault="00FE0B66" w:rsidP="00FE0B66">
            <w:pPr>
              <w:jc w:val="both"/>
              <w:rPr>
                <w:rFonts w:cs="Arial"/>
                <w:szCs w:val="24"/>
              </w:rPr>
            </w:pPr>
            <w:r w:rsidRPr="00FE0B66">
              <w:rPr>
                <w:rFonts w:cs="Arial"/>
                <w:szCs w:val="24"/>
              </w:rPr>
              <w:t>N/A</w:t>
            </w:r>
          </w:p>
        </w:tc>
      </w:tr>
      <w:tr w:rsidR="00FE0B66" w:rsidRPr="000D6783" w:rsidTr="00FE0B66">
        <w:tc>
          <w:tcPr>
            <w:tcW w:w="1848" w:type="dxa"/>
          </w:tcPr>
          <w:p w:rsidR="00FE0B66" w:rsidRPr="00FE0B66" w:rsidRDefault="00FE0B66" w:rsidP="00FE0B66">
            <w:pPr>
              <w:jc w:val="both"/>
              <w:rPr>
                <w:rFonts w:cs="Arial"/>
                <w:szCs w:val="24"/>
              </w:rPr>
            </w:pPr>
            <w:r w:rsidRPr="00FE0B66">
              <w:rPr>
                <w:rFonts w:cs="Arial"/>
                <w:szCs w:val="24"/>
              </w:rPr>
              <w:t>2010-11</w:t>
            </w:r>
          </w:p>
        </w:tc>
        <w:tc>
          <w:tcPr>
            <w:tcW w:w="1848" w:type="dxa"/>
          </w:tcPr>
          <w:p w:rsidR="00FE0B66" w:rsidRPr="00FE0B66" w:rsidRDefault="00FE0B66" w:rsidP="00FE0B66">
            <w:pPr>
              <w:jc w:val="both"/>
              <w:rPr>
                <w:rFonts w:cs="Arial"/>
                <w:szCs w:val="24"/>
              </w:rPr>
            </w:pPr>
            <w:r w:rsidRPr="00FE0B66">
              <w:rPr>
                <w:rFonts w:cs="Arial"/>
                <w:szCs w:val="24"/>
              </w:rPr>
              <w:t>9.4%</w:t>
            </w:r>
          </w:p>
        </w:tc>
        <w:tc>
          <w:tcPr>
            <w:tcW w:w="1848" w:type="dxa"/>
          </w:tcPr>
          <w:p w:rsidR="00FE0B66" w:rsidRPr="00FE0B66" w:rsidRDefault="00FE0B66" w:rsidP="00FE0B66">
            <w:pPr>
              <w:jc w:val="both"/>
              <w:rPr>
                <w:rFonts w:cs="Arial"/>
                <w:szCs w:val="24"/>
              </w:rPr>
            </w:pPr>
            <w:r w:rsidRPr="00FE0B66">
              <w:rPr>
                <w:rFonts w:cs="Arial"/>
                <w:szCs w:val="24"/>
              </w:rPr>
              <w:t>10.0%</w:t>
            </w:r>
          </w:p>
        </w:tc>
        <w:tc>
          <w:tcPr>
            <w:tcW w:w="1849" w:type="dxa"/>
          </w:tcPr>
          <w:p w:rsidR="00FE0B66" w:rsidRPr="00FE0B66" w:rsidRDefault="00FE0B66" w:rsidP="00FE0B66">
            <w:pPr>
              <w:jc w:val="both"/>
              <w:rPr>
                <w:rFonts w:cs="Arial"/>
                <w:szCs w:val="24"/>
              </w:rPr>
            </w:pPr>
            <w:r w:rsidRPr="00FE0B66">
              <w:rPr>
                <w:rFonts w:cs="Arial"/>
                <w:szCs w:val="24"/>
              </w:rPr>
              <w:t>15.7%</w:t>
            </w:r>
          </w:p>
        </w:tc>
        <w:tc>
          <w:tcPr>
            <w:tcW w:w="1849" w:type="dxa"/>
          </w:tcPr>
          <w:p w:rsidR="00FE0B66" w:rsidRPr="00FE0B66" w:rsidRDefault="00FE0B66" w:rsidP="00FE0B66">
            <w:pPr>
              <w:jc w:val="both"/>
              <w:rPr>
                <w:rFonts w:cs="Arial"/>
                <w:szCs w:val="24"/>
              </w:rPr>
            </w:pPr>
            <w:r w:rsidRPr="00FE0B66">
              <w:rPr>
                <w:rFonts w:cs="Arial"/>
                <w:szCs w:val="24"/>
              </w:rPr>
              <w:t>16.7%</w:t>
            </w:r>
          </w:p>
        </w:tc>
      </w:tr>
      <w:tr w:rsidR="00FE0B66" w:rsidRPr="000D6783" w:rsidTr="00FE0B66">
        <w:tc>
          <w:tcPr>
            <w:tcW w:w="1848" w:type="dxa"/>
          </w:tcPr>
          <w:p w:rsidR="00FE0B66" w:rsidRPr="00FE0B66" w:rsidRDefault="00FE0B66" w:rsidP="00FE0B66">
            <w:pPr>
              <w:jc w:val="both"/>
              <w:rPr>
                <w:rFonts w:cs="Arial"/>
                <w:szCs w:val="24"/>
              </w:rPr>
            </w:pPr>
            <w:r w:rsidRPr="00FE0B66">
              <w:rPr>
                <w:rFonts w:cs="Arial"/>
                <w:szCs w:val="24"/>
              </w:rPr>
              <w:t>2011-12</w:t>
            </w:r>
          </w:p>
        </w:tc>
        <w:tc>
          <w:tcPr>
            <w:tcW w:w="1848" w:type="dxa"/>
          </w:tcPr>
          <w:p w:rsidR="00FE0B66" w:rsidRPr="00FE0B66" w:rsidRDefault="00FE0B66" w:rsidP="00FE0B66">
            <w:pPr>
              <w:jc w:val="both"/>
              <w:rPr>
                <w:rFonts w:cs="Arial"/>
                <w:szCs w:val="24"/>
              </w:rPr>
            </w:pPr>
            <w:r w:rsidRPr="00FE0B66">
              <w:rPr>
                <w:rFonts w:cs="Arial"/>
                <w:szCs w:val="24"/>
              </w:rPr>
              <w:t>9.0%</w:t>
            </w:r>
          </w:p>
        </w:tc>
        <w:tc>
          <w:tcPr>
            <w:tcW w:w="1848" w:type="dxa"/>
          </w:tcPr>
          <w:p w:rsidR="00FE0B66" w:rsidRPr="00FE0B66" w:rsidRDefault="00FE0B66" w:rsidP="00FE0B66">
            <w:pPr>
              <w:jc w:val="both"/>
              <w:rPr>
                <w:rFonts w:cs="Arial"/>
                <w:szCs w:val="24"/>
              </w:rPr>
            </w:pPr>
            <w:r w:rsidRPr="00FE0B66">
              <w:rPr>
                <w:rFonts w:cs="Arial"/>
                <w:szCs w:val="24"/>
              </w:rPr>
              <w:t>9.6%</w:t>
            </w:r>
          </w:p>
        </w:tc>
        <w:tc>
          <w:tcPr>
            <w:tcW w:w="1849" w:type="dxa"/>
          </w:tcPr>
          <w:p w:rsidR="00FE0B66" w:rsidRPr="00FE0B66" w:rsidRDefault="00FE0B66" w:rsidP="00FE0B66">
            <w:pPr>
              <w:jc w:val="both"/>
              <w:rPr>
                <w:rFonts w:cs="Arial"/>
                <w:szCs w:val="24"/>
              </w:rPr>
            </w:pPr>
            <w:r w:rsidRPr="00FE0B66">
              <w:rPr>
                <w:rFonts w:cs="Arial"/>
                <w:szCs w:val="24"/>
              </w:rPr>
              <w:t>15.1%</w:t>
            </w:r>
          </w:p>
        </w:tc>
        <w:tc>
          <w:tcPr>
            <w:tcW w:w="1849" w:type="dxa"/>
          </w:tcPr>
          <w:p w:rsidR="00FE0B66" w:rsidRPr="00FE0B66" w:rsidRDefault="00FE0B66" w:rsidP="00FE0B66">
            <w:pPr>
              <w:jc w:val="both"/>
              <w:rPr>
                <w:rFonts w:cs="Arial"/>
                <w:szCs w:val="24"/>
              </w:rPr>
            </w:pPr>
            <w:r w:rsidRPr="00FE0B66">
              <w:rPr>
                <w:rFonts w:cs="Arial"/>
                <w:szCs w:val="24"/>
              </w:rPr>
              <w:t>16.3%</w:t>
            </w:r>
          </w:p>
        </w:tc>
      </w:tr>
    </w:tbl>
    <w:p w:rsidR="00FE0B66" w:rsidRPr="000D6783" w:rsidRDefault="00FE0B66" w:rsidP="00FE0B66">
      <w:pPr>
        <w:pStyle w:val="NoSpacing"/>
        <w:jc w:val="both"/>
        <w:rPr>
          <w:rFonts w:ascii="Arial" w:hAnsi="Arial" w:cs="Arial"/>
          <w:sz w:val="24"/>
          <w:szCs w:val="24"/>
        </w:rPr>
      </w:pPr>
    </w:p>
    <w:p w:rsidR="00FE0B66" w:rsidRPr="006D082E" w:rsidRDefault="00FE0B66" w:rsidP="00FE0B66">
      <w:pPr>
        <w:pStyle w:val="NoSpacing"/>
        <w:jc w:val="both"/>
        <w:rPr>
          <w:rFonts w:ascii="Arial" w:hAnsi="Arial" w:cs="Arial"/>
          <w:sz w:val="24"/>
          <w:szCs w:val="24"/>
        </w:rPr>
      </w:pPr>
      <w:r w:rsidRPr="006D082E">
        <w:rPr>
          <w:rFonts w:ascii="Arial" w:hAnsi="Arial" w:cs="Arial"/>
          <w:sz w:val="24"/>
          <w:szCs w:val="24"/>
        </w:rPr>
        <w:t>**Special school data is only available annually</w:t>
      </w:r>
    </w:p>
    <w:p w:rsidR="00FE0B66" w:rsidRDefault="00FE0B66" w:rsidP="00FE0B66">
      <w:pPr>
        <w:pStyle w:val="NoSpacing"/>
        <w:jc w:val="both"/>
        <w:rPr>
          <w:rFonts w:ascii="Arial" w:hAnsi="Arial" w:cs="Arial"/>
          <w:b/>
          <w:sz w:val="24"/>
          <w:szCs w:val="24"/>
        </w:rPr>
      </w:pPr>
    </w:p>
    <w:p w:rsidR="00FE0B66" w:rsidRDefault="00FE0B66" w:rsidP="00FE0B66">
      <w:pPr>
        <w:pStyle w:val="NoSpacing"/>
        <w:jc w:val="both"/>
        <w:rPr>
          <w:rFonts w:ascii="Arial" w:hAnsi="Arial" w:cs="Arial"/>
          <w:b/>
          <w:sz w:val="24"/>
          <w:szCs w:val="24"/>
        </w:rPr>
      </w:pPr>
      <w:r w:rsidRPr="000D6783">
        <w:rPr>
          <w:rFonts w:ascii="Arial" w:hAnsi="Arial" w:cs="Arial"/>
          <w:b/>
          <w:sz w:val="24"/>
          <w:szCs w:val="24"/>
        </w:rPr>
        <w:t>Pro-active work with other teams</w:t>
      </w:r>
    </w:p>
    <w:p w:rsidR="00FE0B66" w:rsidRPr="000D6783" w:rsidRDefault="00FE0B66" w:rsidP="00FE0B66">
      <w:pPr>
        <w:pStyle w:val="NoSpacing"/>
        <w:jc w:val="both"/>
        <w:rPr>
          <w:rFonts w:ascii="Arial" w:hAnsi="Arial" w:cs="Arial"/>
          <w:b/>
          <w:sz w:val="24"/>
          <w:szCs w:val="24"/>
        </w:rPr>
      </w:pPr>
    </w:p>
    <w:p w:rsidR="00FE0B66" w:rsidRDefault="00FE0B66" w:rsidP="00FE0B66">
      <w:pPr>
        <w:pStyle w:val="NoSpacing"/>
        <w:jc w:val="both"/>
        <w:rPr>
          <w:rFonts w:ascii="Arial" w:hAnsi="Arial" w:cs="Arial"/>
          <w:sz w:val="24"/>
          <w:szCs w:val="24"/>
          <w:u w:val="single"/>
        </w:rPr>
      </w:pPr>
      <w:r w:rsidRPr="000D6783">
        <w:rPr>
          <w:rFonts w:ascii="Arial" w:hAnsi="Arial" w:cs="Arial"/>
          <w:sz w:val="24"/>
          <w:szCs w:val="24"/>
          <w:u w:val="single"/>
        </w:rPr>
        <w:t>School Attendance Orders</w:t>
      </w:r>
    </w:p>
    <w:p w:rsidR="00FE0B66" w:rsidRPr="000D6783" w:rsidRDefault="00FE0B66" w:rsidP="00FE0B66">
      <w:pPr>
        <w:pStyle w:val="NoSpacing"/>
        <w:jc w:val="both"/>
        <w:rPr>
          <w:rFonts w:ascii="Arial" w:hAnsi="Arial" w:cs="Arial"/>
          <w:sz w:val="24"/>
          <w:szCs w:val="24"/>
          <w:u w:val="single"/>
        </w:rPr>
      </w:pPr>
    </w:p>
    <w:p w:rsidR="00FE0B66" w:rsidRDefault="00FE0B66" w:rsidP="00FE0B66">
      <w:pPr>
        <w:pStyle w:val="NoSpacing"/>
        <w:jc w:val="both"/>
        <w:rPr>
          <w:rFonts w:ascii="Arial" w:hAnsi="Arial" w:cs="Arial"/>
          <w:sz w:val="24"/>
          <w:szCs w:val="24"/>
        </w:rPr>
      </w:pPr>
      <w:r w:rsidRPr="000D6783">
        <w:rPr>
          <w:rFonts w:ascii="Arial" w:hAnsi="Arial" w:cs="Arial"/>
          <w:sz w:val="24"/>
          <w:szCs w:val="24"/>
        </w:rPr>
        <w:t>The attendance service also works in partnership with the Children Missing Education (CME) team where the local authority believes children should attend school but parents are not making the necessary arrangements to ensure their children become registered.  The attendance service's legal team will initiate School Attendance Order procedures to support the work being undertaken by CME to encourage parents to access provision and where necessary will issue School Attendance Orders and undertake proceedings in respect of non-compliance with any such orders.</w:t>
      </w:r>
    </w:p>
    <w:p w:rsidR="00DA1434" w:rsidRDefault="00DA1434" w:rsidP="00FE0B66">
      <w:pPr>
        <w:pStyle w:val="NoSpacing"/>
        <w:jc w:val="both"/>
        <w:rPr>
          <w:rFonts w:ascii="Arial" w:hAnsi="Arial" w:cs="Arial"/>
          <w:sz w:val="24"/>
          <w:szCs w:val="24"/>
          <w:u w:val="single"/>
        </w:rPr>
      </w:pPr>
    </w:p>
    <w:p w:rsidR="00FE0B66" w:rsidRDefault="00FE0B66" w:rsidP="00FE0B66">
      <w:pPr>
        <w:pStyle w:val="NoSpacing"/>
        <w:jc w:val="both"/>
        <w:rPr>
          <w:rFonts w:ascii="Arial" w:hAnsi="Arial" w:cs="Arial"/>
          <w:sz w:val="24"/>
          <w:szCs w:val="24"/>
          <w:u w:val="single"/>
        </w:rPr>
      </w:pPr>
      <w:r w:rsidRPr="000D6783">
        <w:rPr>
          <w:rFonts w:ascii="Arial" w:hAnsi="Arial" w:cs="Arial"/>
          <w:sz w:val="24"/>
          <w:szCs w:val="24"/>
          <w:u w:val="single"/>
        </w:rPr>
        <w:t>Admission to Primary Schools</w:t>
      </w:r>
    </w:p>
    <w:p w:rsidR="00FE0B66" w:rsidRPr="000D6783" w:rsidRDefault="00FE0B66" w:rsidP="00FE0B66">
      <w:pPr>
        <w:pStyle w:val="NoSpacing"/>
        <w:jc w:val="both"/>
        <w:rPr>
          <w:rFonts w:ascii="Arial" w:hAnsi="Arial" w:cs="Arial"/>
          <w:sz w:val="24"/>
          <w:szCs w:val="24"/>
          <w:u w:val="single"/>
        </w:rPr>
      </w:pPr>
    </w:p>
    <w:p w:rsidR="00FE0B66" w:rsidRDefault="00FE0B66" w:rsidP="00FE0B66">
      <w:pPr>
        <w:pStyle w:val="NoSpacing"/>
        <w:jc w:val="both"/>
        <w:rPr>
          <w:rFonts w:ascii="Arial" w:hAnsi="Arial" w:cs="Arial"/>
          <w:sz w:val="24"/>
          <w:szCs w:val="24"/>
        </w:rPr>
      </w:pPr>
      <w:r w:rsidRPr="000D6783">
        <w:rPr>
          <w:rFonts w:ascii="Arial" w:hAnsi="Arial" w:cs="Arial"/>
          <w:sz w:val="24"/>
          <w:szCs w:val="24"/>
        </w:rPr>
        <w:t xml:space="preserve">It has been recognised that increases in birth rates are currently putting pressure on local authorities in terms of managing admissions to primary schools.  Although Lancashire has a good track record of meeting parental preferences, there are always a small but significant number of children who do not arrive at their allocated school at the start of the new school year.  The School Attendance Service has worked with Pupil Access and the Children Missing Education Team to agree a protocol for managing such cases effectively.  This protocol was introduced in September 2012 and has been further refined in September 2013.  It ensures consistent advice is offered to schools by all relevant teams within the local authority </w:t>
      </w:r>
      <w:r w:rsidRPr="000D6783">
        <w:rPr>
          <w:rFonts w:ascii="Arial" w:hAnsi="Arial" w:cs="Arial"/>
          <w:sz w:val="24"/>
          <w:szCs w:val="24"/>
        </w:rPr>
        <w:lastRenderedPageBreak/>
        <w:t>and allows us to support schools in managing admissions effectively and ensuring children do not go missing as a result of failing to take up the place offered at school even though they are not at that time of compulsory school age.  This focussed approach also reduces the number of children who would meet the definition of PA even though they are not formally included in the official statistics.</w:t>
      </w:r>
    </w:p>
    <w:p w:rsidR="00FE0B66" w:rsidRPr="000D6783" w:rsidRDefault="00FE0B66" w:rsidP="00FE0B66">
      <w:pPr>
        <w:pStyle w:val="NoSpacing"/>
        <w:jc w:val="both"/>
        <w:rPr>
          <w:rFonts w:ascii="Arial" w:hAnsi="Arial" w:cs="Arial"/>
          <w:sz w:val="24"/>
          <w:szCs w:val="24"/>
        </w:rPr>
      </w:pPr>
    </w:p>
    <w:p w:rsidR="00FE0B66" w:rsidRDefault="00FE0B66" w:rsidP="00FE0B66">
      <w:pPr>
        <w:pStyle w:val="NoSpacing"/>
        <w:jc w:val="both"/>
        <w:rPr>
          <w:rFonts w:ascii="Arial" w:hAnsi="Arial" w:cs="Arial"/>
          <w:sz w:val="24"/>
          <w:szCs w:val="24"/>
        </w:rPr>
      </w:pPr>
      <w:r w:rsidRPr="000D6783">
        <w:rPr>
          <w:rFonts w:ascii="Arial" w:hAnsi="Arial" w:cs="Arial"/>
          <w:sz w:val="24"/>
          <w:szCs w:val="24"/>
        </w:rPr>
        <w:t xml:space="preserve">For the first time, overall absence data was collected in respect of four year olds for the Autumn </w:t>
      </w:r>
      <w:r>
        <w:rPr>
          <w:rFonts w:ascii="Arial" w:hAnsi="Arial" w:cs="Arial"/>
          <w:sz w:val="24"/>
          <w:szCs w:val="24"/>
        </w:rPr>
        <w:t xml:space="preserve">and Spring </w:t>
      </w:r>
      <w:r w:rsidRPr="000D6783">
        <w:rPr>
          <w:rFonts w:ascii="Arial" w:hAnsi="Arial" w:cs="Arial"/>
          <w:sz w:val="24"/>
          <w:szCs w:val="24"/>
        </w:rPr>
        <w:t>Term</w:t>
      </w:r>
      <w:r>
        <w:rPr>
          <w:rFonts w:ascii="Arial" w:hAnsi="Arial" w:cs="Arial"/>
          <w:sz w:val="24"/>
          <w:szCs w:val="24"/>
        </w:rPr>
        <w:t>s</w:t>
      </w:r>
      <w:r w:rsidRPr="000D6783">
        <w:rPr>
          <w:rFonts w:ascii="Arial" w:hAnsi="Arial" w:cs="Arial"/>
          <w:sz w:val="24"/>
          <w:szCs w:val="24"/>
        </w:rPr>
        <w:t xml:space="preserve"> 2012</w:t>
      </w:r>
      <w:r>
        <w:rPr>
          <w:rFonts w:ascii="Arial" w:hAnsi="Arial" w:cs="Arial"/>
          <w:sz w:val="24"/>
          <w:szCs w:val="24"/>
        </w:rPr>
        <w:t>/13</w:t>
      </w:r>
      <w:r w:rsidRPr="000D6783">
        <w:rPr>
          <w:rFonts w:ascii="Arial" w:hAnsi="Arial" w:cs="Arial"/>
          <w:sz w:val="24"/>
          <w:szCs w:val="24"/>
        </w:rPr>
        <w:t xml:space="preserve">.  For England as a whole, overall absence for four year olds in the Autumn </w:t>
      </w:r>
      <w:r>
        <w:rPr>
          <w:rFonts w:ascii="Arial" w:hAnsi="Arial" w:cs="Arial"/>
          <w:sz w:val="24"/>
          <w:szCs w:val="24"/>
        </w:rPr>
        <w:t xml:space="preserve">and Spring </w:t>
      </w:r>
      <w:r w:rsidRPr="000D6783">
        <w:rPr>
          <w:rFonts w:ascii="Arial" w:hAnsi="Arial" w:cs="Arial"/>
          <w:sz w:val="24"/>
          <w:szCs w:val="24"/>
        </w:rPr>
        <w:t>Term</w:t>
      </w:r>
      <w:r>
        <w:rPr>
          <w:rFonts w:ascii="Arial" w:hAnsi="Arial" w:cs="Arial"/>
          <w:sz w:val="24"/>
          <w:szCs w:val="24"/>
        </w:rPr>
        <w:t>s</w:t>
      </w:r>
      <w:r w:rsidRPr="000D6783">
        <w:rPr>
          <w:rFonts w:ascii="Arial" w:hAnsi="Arial" w:cs="Arial"/>
          <w:sz w:val="24"/>
          <w:szCs w:val="24"/>
        </w:rPr>
        <w:t xml:space="preserve"> 2012</w:t>
      </w:r>
      <w:r>
        <w:rPr>
          <w:rFonts w:ascii="Arial" w:hAnsi="Arial" w:cs="Arial"/>
          <w:sz w:val="24"/>
          <w:szCs w:val="24"/>
        </w:rPr>
        <w:t>/13</w:t>
      </w:r>
      <w:r w:rsidRPr="000D6783">
        <w:rPr>
          <w:rFonts w:ascii="Arial" w:hAnsi="Arial" w:cs="Arial"/>
          <w:sz w:val="24"/>
          <w:szCs w:val="24"/>
        </w:rPr>
        <w:t xml:space="preserve"> was 6.</w:t>
      </w:r>
      <w:r>
        <w:rPr>
          <w:rFonts w:ascii="Arial" w:hAnsi="Arial" w:cs="Arial"/>
          <w:sz w:val="24"/>
          <w:szCs w:val="24"/>
        </w:rPr>
        <w:t>4</w:t>
      </w:r>
      <w:r w:rsidRPr="000D6783">
        <w:rPr>
          <w:rFonts w:ascii="Arial" w:hAnsi="Arial" w:cs="Arial"/>
          <w:sz w:val="24"/>
          <w:szCs w:val="24"/>
        </w:rPr>
        <w:t>% comp</w:t>
      </w:r>
      <w:r>
        <w:rPr>
          <w:rFonts w:ascii="Arial" w:hAnsi="Arial" w:cs="Arial"/>
          <w:sz w:val="24"/>
          <w:szCs w:val="24"/>
        </w:rPr>
        <w:t>ared to a Lancashire figure of 5.3</w:t>
      </w:r>
      <w:r w:rsidRPr="000D6783">
        <w:rPr>
          <w:rFonts w:ascii="Arial" w:hAnsi="Arial" w:cs="Arial"/>
          <w:sz w:val="24"/>
          <w:szCs w:val="24"/>
        </w:rPr>
        <w:t>%.  Lancashire was ranked first amongst its statisti</w:t>
      </w:r>
      <w:r>
        <w:rPr>
          <w:rFonts w:ascii="Arial" w:hAnsi="Arial" w:cs="Arial"/>
          <w:sz w:val="24"/>
          <w:szCs w:val="24"/>
        </w:rPr>
        <w:t>cal neighbours and had the sixth</w:t>
      </w:r>
      <w:r w:rsidRPr="000D6783">
        <w:rPr>
          <w:rFonts w:ascii="Arial" w:hAnsi="Arial" w:cs="Arial"/>
          <w:sz w:val="24"/>
          <w:szCs w:val="24"/>
        </w:rPr>
        <w:t xml:space="preserve"> lowest overall absence figure of all local authorities in England which is a very positive position as it is vital that children establish a regular pattern of attendance at school from an early age.  </w:t>
      </w:r>
    </w:p>
    <w:p w:rsidR="00FE0B66" w:rsidRDefault="00FE0B66" w:rsidP="00FE0B66">
      <w:pPr>
        <w:rPr>
          <w:rFonts w:cs="Arial"/>
          <w:szCs w:val="24"/>
          <w:lang w:eastAsia="en-US"/>
        </w:rPr>
      </w:pPr>
    </w:p>
    <w:p w:rsidR="00D35E0E" w:rsidRPr="00D35E0E" w:rsidRDefault="00FE0B66" w:rsidP="00D35E0E">
      <w:pPr>
        <w:numPr>
          <w:ilvl w:val="0"/>
          <w:numId w:val="3"/>
        </w:numPr>
        <w:rPr>
          <w:b/>
          <w:szCs w:val="24"/>
        </w:rPr>
      </w:pPr>
      <w:r>
        <w:rPr>
          <w:b/>
          <w:szCs w:val="24"/>
        </w:rPr>
        <w:t>Permanent Exclusion.</w:t>
      </w:r>
    </w:p>
    <w:p w:rsidR="00FE0B66" w:rsidRPr="00A8320F" w:rsidRDefault="00FE0B66" w:rsidP="00FE0B66">
      <w:pPr>
        <w:jc w:val="center"/>
        <w:rPr>
          <w:rFonts w:cs="Arial"/>
          <w:b/>
          <w:szCs w:val="24"/>
        </w:rPr>
      </w:pPr>
    </w:p>
    <w:p w:rsidR="00FE0B66" w:rsidRPr="00A8320F" w:rsidRDefault="00FE0B66" w:rsidP="00FE0B66">
      <w:pPr>
        <w:jc w:val="center"/>
        <w:rPr>
          <w:rFonts w:cs="Arial"/>
          <w:b/>
          <w:szCs w:val="24"/>
        </w:rPr>
      </w:pPr>
      <w:r w:rsidRPr="00A8320F">
        <w:rPr>
          <w:rFonts w:cs="Arial"/>
          <w:b/>
          <w:szCs w:val="24"/>
        </w:rPr>
        <w:t>Lancashire County Council Exclusion Trends - Schools and Academies Combined</w:t>
      </w:r>
    </w:p>
    <w:p w:rsidR="00FE0B66" w:rsidRPr="00A8320F" w:rsidRDefault="00FE0B66" w:rsidP="00FE0B66">
      <w:pPr>
        <w:rPr>
          <w:rFonts w:cs="Arial"/>
          <w:b/>
          <w:szCs w:val="24"/>
        </w:rPr>
      </w:pPr>
      <w:r w:rsidRPr="00A8320F">
        <w:rPr>
          <w:rFonts w:cs="Arial"/>
          <w:b/>
          <w:szCs w:val="24"/>
        </w:rPr>
        <w:t xml:space="preserve">Secondary </w:t>
      </w:r>
    </w:p>
    <w:p w:rsidR="00FE0B66" w:rsidRPr="001A3DCF" w:rsidRDefault="00FE0B66" w:rsidP="00FE0B66">
      <w:pP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842"/>
        <w:gridCol w:w="1574"/>
        <w:gridCol w:w="1329"/>
        <w:gridCol w:w="1679"/>
      </w:tblGrid>
      <w:tr w:rsidR="00FE0B66" w:rsidRPr="000A1B31" w:rsidTr="00FE0B66">
        <w:tc>
          <w:tcPr>
            <w:tcW w:w="0" w:type="auto"/>
            <w:shd w:val="clear" w:color="auto" w:fill="E5DFEC"/>
          </w:tcPr>
          <w:p w:rsidR="00FE0B66" w:rsidRPr="00FE0B66" w:rsidRDefault="00FE0B66" w:rsidP="003C3E49">
            <w:pPr>
              <w:rPr>
                <w:rFonts w:cs="Arial"/>
                <w:b/>
                <w:sz w:val="20"/>
              </w:rPr>
            </w:pPr>
            <w:r w:rsidRPr="00FE0B66">
              <w:rPr>
                <w:rFonts w:cs="Arial"/>
                <w:b/>
                <w:sz w:val="20"/>
              </w:rPr>
              <w:t>SECONDARY</w:t>
            </w:r>
          </w:p>
          <w:p w:rsidR="00FE0B66" w:rsidRPr="00FE0B66" w:rsidRDefault="00FE0B66" w:rsidP="003C3E49">
            <w:pPr>
              <w:rPr>
                <w:rFonts w:cs="Arial"/>
                <w:b/>
                <w:sz w:val="20"/>
              </w:rPr>
            </w:pPr>
            <w:r w:rsidRPr="00FE0B66">
              <w:rPr>
                <w:rFonts w:cs="Arial"/>
                <w:b/>
                <w:sz w:val="20"/>
              </w:rPr>
              <w:t>PERMANENT</w:t>
            </w:r>
          </w:p>
        </w:tc>
        <w:tc>
          <w:tcPr>
            <w:tcW w:w="1842" w:type="dxa"/>
            <w:shd w:val="clear" w:color="auto" w:fill="E5DFEC"/>
          </w:tcPr>
          <w:p w:rsidR="00FE0B66" w:rsidRPr="00FE0B66" w:rsidRDefault="00FE0B66" w:rsidP="003C3E49">
            <w:pPr>
              <w:rPr>
                <w:rFonts w:cs="Arial"/>
                <w:b/>
                <w:sz w:val="20"/>
              </w:rPr>
            </w:pPr>
            <w:r w:rsidRPr="00FE0B66">
              <w:rPr>
                <w:rFonts w:cs="Arial"/>
                <w:b/>
                <w:sz w:val="20"/>
              </w:rPr>
              <w:t>2010 – 2011</w:t>
            </w:r>
          </w:p>
          <w:p w:rsidR="00FE0B66" w:rsidRPr="00FE0B66" w:rsidRDefault="00FE0B66" w:rsidP="003C3E49">
            <w:pPr>
              <w:rPr>
                <w:rFonts w:cs="Arial"/>
                <w:b/>
                <w:sz w:val="20"/>
              </w:rPr>
            </w:pPr>
          </w:p>
        </w:tc>
        <w:tc>
          <w:tcPr>
            <w:tcW w:w="1574" w:type="dxa"/>
            <w:shd w:val="clear" w:color="auto" w:fill="E5DFEC"/>
          </w:tcPr>
          <w:p w:rsidR="00FE0B66" w:rsidRPr="00FE0B66" w:rsidRDefault="00FE0B66" w:rsidP="003C3E49">
            <w:pPr>
              <w:rPr>
                <w:rFonts w:cs="Arial"/>
                <w:b/>
                <w:sz w:val="20"/>
              </w:rPr>
            </w:pPr>
            <w:r w:rsidRPr="00FE0B66">
              <w:rPr>
                <w:rFonts w:cs="Arial"/>
                <w:b/>
                <w:sz w:val="20"/>
              </w:rPr>
              <w:t>2011 – 2012</w:t>
            </w:r>
          </w:p>
          <w:p w:rsidR="00FE0B66" w:rsidRPr="00FE0B66" w:rsidRDefault="00FE0B66" w:rsidP="003C3E49">
            <w:pPr>
              <w:rPr>
                <w:rFonts w:cs="Arial"/>
                <w:b/>
                <w:sz w:val="20"/>
              </w:rPr>
            </w:pPr>
          </w:p>
        </w:tc>
        <w:tc>
          <w:tcPr>
            <w:tcW w:w="0" w:type="auto"/>
            <w:shd w:val="clear" w:color="auto" w:fill="E5DFEC"/>
          </w:tcPr>
          <w:p w:rsidR="00FE0B66" w:rsidRPr="00FE0B66" w:rsidRDefault="00FE0B66" w:rsidP="003C3E49">
            <w:pPr>
              <w:rPr>
                <w:rFonts w:cs="Arial"/>
                <w:b/>
                <w:sz w:val="20"/>
              </w:rPr>
            </w:pPr>
            <w:r w:rsidRPr="00FE0B66">
              <w:rPr>
                <w:rFonts w:cs="Arial"/>
                <w:b/>
                <w:sz w:val="20"/>
              </w:rPr>
              <w:t>2012 – 2013</w:t>
            </w:r>
          </w:p>
          <w:p w:rsidR="00FE0B66" w:rsidRPr="00FE0B66" w:rsidRDefault="00FE0B66" w:rsidP="003C3E49">
            <w:pPr>
              <w:rPr>
                <w:rFonts w:cs="Arial"/>
                <w:b/>
                <w:sz w:val="20"/>
              </w:rPr>
            </w:pPr>
          </w:p>
        </w:tc>
        <w:tc>
          <w:tcPr>
            <w:tcW w:w="1679" w:type="dxa"/>
            <w:shd w:val="clear" w:color="auto" w:fill="E5DFEC"/>
          </w:tcPr>
          <w:p w:rsidR="00FE0B66" w:rsidRPr="00FE0B66" w:rsidRDefault="00FE0B66" w:rsidP="003C3E49">
            <w:pPr>
              <w:rPr>
                <w:rFonts w:cs="Arial"/>
                <w:b/>
                <w:sz w:val="20"/>
              </w:rPr>
            </w:pPr>
            <w:r w:rsidRPr="00FE0B66">
              <w:rPr>
                <w:rFonts w:cs="Arial"/>
                <w:b/>
                <w:sz w:val="20"/>
              </w:rPr>
              <w:t>Trend</w:t>
            </w:r>
          </w:p>
        </w:tc>
      </w:tr>
      <w:tr w:rsidR="00FE0B66" w:rsidRPr="000A1B31" w:rsidTr="00FE0B66">
        <w:tc>
          <w:tcPr>
            <w:tcW w:w="0" w:type="auto"/>
            <w:shd w:val="clear" w:color="auto" w:fill="CCC0D9"/>
          </w:tcPr>
          <w:p w:rsidR="00FE0B66" w:rsidRPr="00FE0B66" w:rsidRDefault="00FE0B66" w:rsidP="003C3E49">
            <w:pPr>
              <w:rPr>
                <w:rFonts w:cs="Arial"/>
                <w:b/>
                <w:sz w:val="20"/>
              </w:rPr>
            </w:pPr>
            <w:r w:rsidRPr="00FE0B66">
              <w:rPr>
                <w:rFonts w:cs="Arial"/>
                <w:b/>
                <w:sz w:val="20"/>
              </w:rPr>
              <w:t>NORTH</w:t>
            </w:r>
          </w:p>
        </w:tc>
        <w:tc>
          <w:tcPr>
            <w:tcW w:w="1842" w:type="dxa"/>
          </w:tcPr>
          <w:p w:rsidR="00FE0B66" w:rsidRPr="00FE0B66" w:rsidRDefault="00FE0B66" w:rsidP="00FE0B66">
            <w:pPr>
              <w:jc w:val="center"/>
              <w:rPr>
                <w:rFonts w:cs="Arial"/>
                <w:sz w:val="20"/>
              </w:rPr>
            </w:pPr>
          </w:p>
        </w:tc>
        <w:tc>
          <w:tcPr>
            <w:tcW w:w="1574" w:type="dxa"/>
          </w:tcPr>
          <w:p w:rsidR="00FE0B66" w:rsidRPr="00FE0B66" w:rsidRDefault="00FE0B66" w:rsidP="00FE0B66">
            <w:pPr>
              <w:jc w:val="center"/>
              <w:rPr>
                <w:rFonts w:cs="Arial"/>
                <w:sz w:val="20"/>
              </w:rPr>
            </w:pPr>
          </w:p>
        </w:tc>
        <w:tc>
          <w:tcPr>
            <w:tcW w:w="0" w:type="auto"/>
          </w:tcPr>
          <w:p w:rsidR="00FE0B66" w:rsidRPr="00FE0B66" w:rsidRDefault="00FE0B66" w:rsidP="00FE0B66">
            <w:pPr>
              <w:jc w:val="center"/>
              <w:rPr>
                <w:rFonts w:cs="Arial"/>
                <w:sz w:val="20"/>
              </w:rPr>
            </w:pPr>
          </w:p>
        </w:tc>
        <w:tc>
          <w:tcPr>
            <w:tcW w:w="1679" w:type="dxa"/>
          </w:tcPr>
          <w:p w:rsidR="00FE0B66" w:rsidRPr="00FE0B66" w:rsidRDefault="00FE0B66" w:rsidP="003C3E49">
            <w:pPr>
              <w:rPr>
                <w:rFonts w:cs="Arial"/>
                <w:b/>
                <w:sz w:val="20"/>
              </w:rPr>
            </w:pP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1 LANCASTER</w:t>
            </w:r>
          </w:p>
        </w:tc>
        <w:tc>
          <w:tcPr>
            <w:tcW w:w="1842" w:type="dxa"/>
          </w:tcPr>
          <w:p w:rsidR="00FE0B66" w:rsidRPr="00FE0B66" w:rsidRDefault="00FE0B66" w:rsidP="00FE0B66">
            <w:pPr>
              <w:jc w:val="center"/>
              <w:rPr>
                <w:rFonts w:cs="Arial"/>
                <w:sz w:val="20"/>
              </w:rPr>
            </w:pPr>
            <w:r w:rsidRPr="00FE0B66">
              <w:rPr>
                <w:rFonts w:cs="Arial"/>
                <w:sz w:val="20"/>
              </w:rPr>
              <w:t>3</w:t>
            </w:r>
          </w:p>
        </w:tc>
        <w:tc>
          <w:tcPr>
            <w:tcW w:w="1574" w:type="dxa"/>
          </w:tcPr>
          <w:p w:rsidR="00FE0B66" w:rsidRPr="00FE0B66" w:rsidRDefault="00FE0B66" w:rsidP="00FE0B66">
            <w:pPr>
              <w:jc w:val="center"/>
              <w:rPr>
                <w:rFonts w:cs="Arial"/>
                <w:sz w:val="20"/>
              </w:rPr>
            </w:pPr>
            <w:r w:rsidRPr="00FE0B66">
              <w:rPr>
                <w:rFonts w:cs="Arial"/>
                <w:sz w:val="20"/>
              </w:rPr>
              <w:t>4</w:t>
            </w:r>
          </w:p>
        </w:tc>
        <w:tc>
          <w:tcPr>
            <w:tcW w:w="0" w:type="auto"/>
          </w:tcPr>
          <w:p w:rsidR="00FE0B66" w:rsidRPr="00FE0B66" w:rsidRDefault="00FE0B66" w:rsidP="00FE0B66">
            <w:pPr>
              <w:jc w:val="center"/>
              <w:rPr>
                <w:rFonts w:cs="Arial"/>
                <w:sz w:val="20"/>
              </w:rPr>
            </w:pPr>
            <w:r w:rsidRPr="00FE0B66">
              <w:rPr>
                <w:rFonts w:cs="Arial"/>
                <w:sz w:val="20"/>
              </w:rPr>
              <w:t>5</w:t>
            </w:r>
          </w:p>
        </w:tc>
        <w:tc>
          <w:tcPr>
            <w:tcW w:w="1679" w:type="dxa"/>
          </w:tcPr>
          <w:p w:rsidR="00FE0B66" w:rsidRPr="00FE0B66" w:rsidRDefault="00FE0B66" w:rsidP="003C3E49">
            <w:pPr>
              <w:rPr>
                <w:rFonts w:cs="Arial"/>
                <w:b/>
                <w:sz w:val="20"/>
              </w:rPr>
            </w:pPr>
            <w:r w:rsidRPr="00FE0B66">
              <w:rPr>
                <w:rFonts w:cs="Arial"/>
                <w:b/>
                <w:sz w:val="20"/>
              </w:rPr>
              <w:t>up</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2 WYRE</w:t>
            </w:r>
          </w:p>
        </w:tc>
        <w:tc>
          <w:tcPr>
            <w:tcW w:w="1842" w:type="dxa"/>
          </w:tcPr>
          <w:p w:rsidR="00FE0B66" w:rsidRPr="00FE0B66" w:rsidRDefault="00FE0B66" w:rsidP="00FE0B66">
            <w:pPr>
              <w:jc w:val="center"/>
              <w:rPr>
                <w:rFonts w:cs="Arial"/>
                <w:sz w:val="20"/>
              </w:rPr>
            </w:pPr>
            <w:r w:rsidRPr="00FE0B66">
              <w:rPr>
                <w:rFonts w:cs="Arial"/>
                <w:sz w:val="20"/>
              </w:rPr>
              <w:t>23</w:t>
            </w:r>
          </w:p>
        </w:tc>
        <w:tc>
          <w:tcPr>
            <w:tcW w:w="1574" w:type="dxa"/>
          </w:tcPr>
          <w:p w:rsidR="00FE0B66" w:rsidRPr="00FE0B66" w:rsidRDefault="00FE0B66" w:rsidP="00FE0B66">
            <w:pPr>
              <w:jc w:val="center"/>
              <w:rPr>
                <w:rFonts w:cs="Arial"/>
                <w:sz w:val="20"/>
              </w:rPr>
            </w:pPr>
            <w:r w:rsidRPr="00FE0B66">
              <w:rPr>
                <w:rFonts w:cs="Arial"/>
                <w:sz w:val="20"/>
              </w:rPr>
              <w:t>11</w:t>
            </w:r>
          </w:p>
        </w:tc>
        <w:tc>
          <w:tcPr>
            <w:tcW w:w="0" w:type="auto"/>
          </w:tcPr>
          <w:p w:rsidR="00FE0B66" w:rsidRPr="00FE0B66" w:rsidRDefault="00FE0B66" w:rsidP="00FE0B66">
            <w:pPr>
              <w:jc w:val="center"/>
              <w:rPr>
                <w:rFonts w:cs="Arial"/>
                <w:sz w:val="20"/>
              </w:rPr>
            </w:pPr>
            <w:r w:rsidRPr="00FE0B66">
              <w:rPr>
                <w:rFonts w:cs="Arial"/>
                <w:sz w:val="20"/>
              </w:rPr>
              <w:t>11</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4 FYLDE</w:t>
            </w:r>
          </w:p>
        </w:tc>
        <w:tc>
          <w:tcPr>
            <w:tcW w:w="1842" w:type="dxa"/>
          </w:tcPr>
          <w:p w:rsidR="00FE0B66" w:rsidRPr="00FE0B66" w:rsidRDefault="00FE0B66" w:rsidP="00FE0B66">
            <w:pPr>
              <w:jc w:val="center"/>
              <w:rPr>
                <w:rFonts w:cs="Arial"/>
                <w:sz w:val="20"/>
              </w:rPr>
            </w:pPr>
            <w:r w:rsidRPr="00FE0B66">
              <w:rPr>
                <w:rFonts w:cs="Arial"/>
                <w:sz w:val="20"/>
              </w:rPr>
              <w:t>23</w:t>
            </w:r>
          </w:p>
        </w:tc>
        <w:tc>
          <w:tcPr>
            <w:tcW w:w="1574" w:type="dxa"/>
          </w:tcPr>
          <w:p w:rsidR="00FE0B66" w:rsidRPr="00FE0B66" w:rsidRDefault="00FE0B66" w:rsidP="00FE0B66">
            <w:pPr>
              <w:jc w:val="center"/>
              <w:rPr>
                <w:rFonts w:cs="Arial"/>
                <w:sz w:val="20"/>
              </w:rPr>
            </w:pPr>
            <w:r w:rsidRPr="00FE0B66">
              <w:rPr>
                <w:rFonts w:cs="Arial"/>
                <w:sz w:val="20"/>
              </w:rPr>
              <w:t>6</w:t>
            </w:r>
          </w:p>
        </w:tc>
        <w:tc>
          <w:tcPr>
            <w:tcW w:w="0" w:type="auto"/>
          </w:tcPr>
          <w:p w:rsidR="00FE0B66" w:rsidRPr="00FE0B66" w:rsidRDefault="00FE0B66" w:rsidP="00FE0B66">
            <w:pPr>
              <w:jc w:val="center"/>
              <w:rPr>
                <w:rFonts w:cs="Arial"/>
                <w:sz w:val="20"/>
              </w:rPr>
            </w:pPr>
            <w:r w:rsidRPr="00FE0B66">
              <w:rPr>
                <w:rFonts w:cs="Arial"/>
                <w:sz w:val="20"/>
              </w:rPr>
              <w:t>6</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shd w:val="clear" w:color="auto" w:fill="CCC0D9"/>
          </w:tcPr>
          <w:p w:rsidR="00FE0B66" w:rsidRPr="00FE0B66" w:rsidRDefault="00FE0B66" w:rsidP="003C3E49">
            <w:pPr>
              <w:rPr>
                <w:rFonts w:cs="Arial"/>
                <w:b/>
                <w:sz w:val="20"/>
              </w:rPr>
            </w:pPr>
            <w:r w:rsidRPr="00FE0B66">
              <w:rPr>
                <w:rFonts w:cs="Arial"/>
                <w:b/>
                <w:sz w:val="20"/>
              </w:rPr>
              <w:t>SOUTH</w:t>
            </w:r>
          </w:p>
        </w:tc>
        <w:tc>
          <w:tcPr>
            <w:tcW w:w="1842" w:type="dxa"/>
          </w:tcPr>
          <w:p w:rsidR="00FE0B66" w:rsidRPr="00FE0B66" w:rsidRDefault="00FE0B66" w:rsidP="00FE0B66">
            <w:pPr>
              <w:jc w:val="center"/>
              <w:rPr>
                <w:rFonts w:cs="Arial"/>
                <w:sz w:val="20"/>
              </w:rPr>
            </w:pPr>
          </w:p>
        </w:tc>
        <w:tc>
          <w:tcPr>
            <w:tcW w:w="1574" w:type="dxa"/>
          </w:tcPr>
          <w:p w:rsidR="00FE0B66" w:rsidRPr="00FE0B66" w:rsidRDefault="00FE0B66" w:rsidP="00FE0B66">
            <w:pPr>
              <w:jc w:val="center"/>
              <w:rPr>
                <w:rFonts w:cs="Arial"/>
                <w:sz w:val="20"/>
              </w:rPr>
            </w:pPr>
          </w:p>
        </w:tc>
        <w:tc>
          <w:tcPr>
            <w:tcW w:w="0" w:type="auto"/>
          </w:tcPr>
          <w:p w:rsidR="00FE0B66" w:rsidRPr="00FE0B66" w:rsidRDefault="00FE0B66" w:rsidP="00FE0B66">
            <w:pPr>
              <w:jc w:val="center"/>
              <w:rPr>
                <w:rFonts w:cs="Arial"/>
                <w:sz w:val="20"/>
              </w:rPr>
            </w:pPr>
          </w:p>
        </w:tc>
        <w:tc>
          <w:tcPr>
            <w:tcW w:w="1679" w:type="dxa"/>
          </w:tcPr>
          <w:p w:rsidR="00FE0B66" w:rsidRPr="00FE0B66" w:rsidRDefault="00FE0B66" w:rsidP="003C3E49">
            <w:pPr>
              <w:rPr>
                <w:rFonts w:cs="Arial"/>
                <w:b/>
                <w:sz w:val="20"/>
              </w:rPr>
            </w:pP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6 PRESTON</w:t>
            </w:r>
          </w:p>
        </w:tc>
        <w:tc>
          <w:tcPr>
            <w:tcW w:w="1842" w:type="dxa"/>
          </w:tcPr>
          <w:p w:rsidR="00FE0B66" w:rsidRPr="00FE0B66" w:rsidRDefault="00FE0B66" w:rsidP="00FE0B66">
            <w:pPr>
              <w:jc w:val="center"/>
              <w:rPr>
                <w:rFonts w:cs="Arial"/>
                <w:sz w:val="20"/>
              </w:rPr>
            </w:pPr>
            <w:r w:rsidRPr="00FE0B66">
              <w:rPr>
                <w:rFonts w:cs="Arial"/>
                <w:sz w:val="20"/>
              </w:rPr>
              <w:t>29</w:t>
            </w:r>
          </w:p>
        </w:tc>
        <w:tc>
          <w:tcPr>
            <w:tcW w:w="1574" w:type="dxa"/>
          </w:tcPr>
          <w:p w:rsidR="00FE0B66" w:rsidRPr="00FE0B66" w:rsidRDefault="00FE0B66" w:rsidP="00FE0B66">
            <w:pPr>
              <w:jc w:val="center"/>
              <w:rPr>
                <w:rFonts w:cs="Arial"/>
                <w:sz w:val="20"/>
              </w:rPr>
            </w:pPr>
            <w:r w:rsidRPr="00FE0B66">
              <w:rPr>
                <w:rFonts w:cs="Arial"/>
                <w:sz w:val="20"/>
              </w:rPr>
              <w:t>23</w:t>
            </w:r>
          </w:p>
        </w:tc>
        <w:tc>
          <w:tcPr>
            <w:tcW w:w="0" w:type="auto"/>
          </w:tcPr>
          <w:p w:rsidR="00FE0B66" w:rsidRPr="00FE0B66" w:rsidRDefault="00FE0B66" w:rsidP="00FE0B66">
            <w:pPr>
              <w:jc w:val="center"/>
              <w:rPr>
                <w:rFonts w:cs="Arial"/>
                <w:sz w:val="20"/>
              </w:rPr>
            </w:pPr>
            <w:r w:rsidRPr="00FE0B66">
              <w:rPr>
                <w:rFonts w:cs="Arial"/>
                <w:sz w:val="20"/>
              </w:rPr>
              <w:t>28</w:t>
            </w:r>
          </w:p>
        </w:tc>
        <w:tc>
          <w:tcPr>
            <w:tcW w:w="1679" w:type="dxa"/>
          </w:tcPr>
          <w:p w:rsidR="00FE0B66" w:rsidRPr="00FE0B66" w:rsidRDefault="00FE0B66" w:rsidP="003C3E49">
            <w:pPr>
              <w:rPr>
                <w:rFonts w:cs="Arial"/>
                <w:b/>
                <w:sz w:val="20"/>
              </w:rPr>
            </w:pPr>
            <w:r w:rsidRPr="00FE0B66">
              <w:rPr>
                <w:rFonts w:cs="Arial"/>
                <w:b/>
                <w:sz w:val="20"/>
              </w:rPr>
              <w:t>level</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7 SOUTH RIBBLE</w:t>
            </w:r>
          </w:p>
        </w:tc>
        <w:tc>
          <w:tcPr>
            <w:tcW w:w="1842" w:type="dxa"/>
          </w:tcPr>
          <w:p w:rsidR="00FE0B66" w:rsidRPr="00FE0B66" w:rsidRDefault="00FE0B66" w:rsidP="00FE0B66">
            <w:pPr>
              <w:jc w:val="center"/>
              <w:rPr>
                <w:rFonts w:cs="Arial"/>
                <w:sz w:val="20"/>
              </w:rPr>
            </w:pPr>
            <w:r w:rsidRPr="00FE0B66">
              <w:rPr>
                <w:rFonts w:cs="Arial"/>
                <w:sz w:val="20"/>
              </w:rPr>
              <w:t>22</w:t>
            </w:r>
          </w:p>
        </w:tc>
        <w:tc>
          <w:tcPr>
            <w:tcW w:w="1574" w:type="dxa"/>
          </w:tcPr>
          <w:p w:rsidR="00FE0B66" w:rsidRPr="00FE0B66" w:rsidRDefault="00FE0B66" w:rsidP="00FE0B66">
            <w:pPr>
              <w:jc w:val="center"/>
              <w:rPr>
                <w:rFonts w:cs="Arial"/>
                <w:sz w:val="20"/>
              </w:rPr>
            </w:pPr>
            <w:r w:rsidRPr="00FE0B66">
              <w:rPr>
                <w:rFonts w:cs="Arial"/>
                <w:sz w:val="20"/>
              </w:rPr>
              <w:t>15</w:t>
            </w:r>
          </w:p>
        </w:tc>
        <w:tc>
          <w:tcPr>
            <w:tcW w:w="0" w:type="auto"/>
          </w:tcPr>
          <w:p w:rsidR="00FE0B66" w:rsidRPr="00FE0B66" w:rsidRDefault="00FE0B66" w:rsidP="00FE0B66">
            <w:pPr>
              <w:jc w:val="center"/>
              <w:rPr>
                <w:rFonts w:cs="Arial"/>
                <w:sz w:val="20"/>
              </w:rPr>
            </w:pPr>
            <w:r w:rsidRPr="00FE0B66">
              <w:rPr>
                <w:rFonts w:cs="Arial"/>
                <w:sz w:val="20"/>
              </w:rPr>
              <w:t>19</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8 WEST LANCASHIRE</w:t>
            </w:r>
          </w:p>
        </w:tc>
        <w:tc>
          <w:tcPr>
            <w:tcW w:w="1842" w:type="dxa"/>
          </w:tcPr>
          <w:p w:rsidR="00FE0B66" w:rsidRPr="00FE0B66" w:rsidRDefault="00FE0B66" w:rsidP="00FE0B66">
            <w:pPr>
              <w:jc w:val="center"/>
              <w:rPr>
                <w:rFonts w:cs="Arial"/>
                <w:sz w:val="20"/>
              </w:rPr>
            </w:pPr>
            <w:r w:rsidRPr="00FE0B66">
              <w:rPr>
                <w:rFonts w:cs="Arial"/>
                <w:sz w:val="20"/>
              </w:rPr>
              <w:t>6</w:t>
            </w:r>
          </w:p>
        </w:tc>
        <w:tc>
          <w:tcPr>
            <w:tcW w:w="1574" w:type="dxa"/>
          </w:tcPr>
          <w:p w:rsidR="00FE0B66" w:rsidRPr="00FE0B66" w:rsidRDefault="00FE0B66" w:rsidP="00FE0B66">
            <w:pPr>
              <w:jc w:val="center"/>
              <w:rPr>
                <w:rFonts w:cs="Arial"/>
                <w:sz w:val="20"/>
              </w:rPr>
            </w:pPr>
            <w:r w:rsidRPr="00FE0B66">
              <w:rPr>
                <w:rFonts w:cs="Arial"/>
                <w:sz w:val="20"/>
              </w:rPr>
              <w:t>3</w:t>
            </w:r>
          </w:p>
        </w:tc>
        <w:tc>
          <w:tcPr>
            <w:tcW w:w="0" w:type="auto"/>
          </w:tcPr>
          <w:p w:rsidR="00FE0B66" w:rsidRPr="00FE0B66" w:rsidRDefault="00FE0B66" w:rsidP="00FE0B66">
            <w:pPr>
              <w:jc w:val="center"/>
              <w:rPr>
                <w:rFonts w:cs="Arial"/>
                <w:sz w:val="20"/>
              </w:rPr>
            </w:pPr>
            <w:r w:rsidRPr="00FE0B66">
              <w:rPr>
                <w:rFonts w:cs="Arial"/>
                <w:sz w:val="20"/>
              </w:rPr>
              <w:t>nil</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9 CHORLEY</w:t>
            </w:r>
          </w:p>
        </w:tc>
        <w:tc>
          <w:tcPr>
            <w:tcW w:w="1842" w:type="dxa"/>
          </w:tcPr>
          <w:p w:rsidR="00FE0B66" w:rsidRPr="00FE0B66" w:rsidRDefault="00FE0B66" w:rsidP="00FE0B66">
            <w:pPr>
              <w:jc w:val="center"/>
              <w:rPr>
                <w:rFonts w:cs="Arial"/>
                <w:sz w:val="20"/>
              </w:rPr>
            </w:pPr>
            <w:r w:rsidRPr="00FE0B66">
              <w:rPr>
                <w:rFonts w:cs="Arial"/>
                <w:sz w:val="20"/>
              </w:rPr>
              <w:t>13</w:t>
            </w:r>
          </w:p>
        </w:tc>
        <w:tc>
          <w:tcPr>
            <w:tcW w:w="1574" w:type="dxa"/>
          </w:tcPr>
          <w:p w:rsidR="00FE0B66" w:rsidRPr="00FE0B66" w:rsidRDefault="00FE0B66" w:rsidP="00FE0B66">
            <w:pPr>
              <w:jc w:val="center"/>
              <w:rPr>
                <w:rFonts w:cs="Arial"/>
                <w:sz w:val="20"/>
              </w:rPr>
            </w:pPr>
            <w:r w:rsidRPr="00FE0B66">
              <w:rPr>
                <w:rFonts w:cs="Arial"/>
                <w:sz w:val="20"/>
              </w:rPr>
              <w:t>7</w:t>
            </w:r>
          </w:p>
        </w:tc>
        <w:tc>
          <w:tcPr>
            <w:tcW w:w="0" w:type="auto"/>
          </w:tcPr>
          <w:p w:rsidR="00FE0B66" w:rsidRPr="00FE0B66" w:rsidRDefault="00FE0B66" w:rsidP="00FE0B66">
            <w:pPr>
              <w:jc w:val="center"/>
              <w:rPr>
                <w:rFonts w:cs="Arial"/>
                <w:sz w:val="20"/>
              </w:rPr>
            </w:pPr>
            <w:r w:rsidRPr="00FE0B66">
              <w:rPr>
                <w:rFonts w:cs="Arial"/>
                <w:sz w:val="20"/>
              </w:rPr>
              <w:t>4</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shd w:val="clear" w:color="auto" w:fill="CCC0D9"/>
          </w:tcPr>
          <w:p w:rsidR="00FE0B66" w:rsidRPr="00FE0B66" w:rsidRDefault="00FE0B66" w:rsidP="003C3E49">
            <w:pPr>
              <w:rPr>
                <w:rFonts w:cs="Arial"/>
                <w:b/>
                <w:sz w:val="20"/>
              </w:rPr>
            </w:pPr>
            <w:r w:rsidRPr="00FE0B66">
              <w:rPr>
                <w:rFonts w:cs="Arial"/>
                <w:b/>
                <w:sz w:val="20"/>
              </w:rPr>
              <w:t>EAST</w:t>
            </w:r>
          </w:p>
        </w:tc>
        <w:tc>
          <w:tcPr>
            <w:tcW w:w="1842" w:type="dxa"/>
          </w:tcPr>
          <w:p w:rsidR="00FE0B66" w:rsidRPr="00FE0B66" w:rsidRDefault="00FE0B66" w:rsidP="00FE0B66">
            <w:pPr>
              <w:jc w:val="center"/>
              <w:rPr>
                <w:rFonts w:cs="Arial"/>
                <w:sz w:val="20"/>
              </w:rPr>
            </w:pPr>
          </w:p>
        </w:tc>
        <w:tc>
          <w:tcPr>
            <w:tcW w:w="1574" w:type="dxa"/>
          </w:tcPr>
          <w:p w:rsidR="00FE0B66" w:rsidRPr="00FE0B66" w:rsidRDefault="00FE0B66" w:rsidP="00FE0B66">
            <w:pPr>
              <w:jc w:val="center"/>
              <w:rPr>
                <w:rFonts w:cs="Arial"/>
                <w:sz w:val="20"/>
              </w:rPr>
            </w:pPr>
          </w:p>
        </w:tc>
        <w:tc>
          <w:tcPr>
            <w:tcW w:w="0" w:type="auto"/>
          </w:tcPr>
          <w:p w:rsidR="00FE0B66" w:rsidRPr="00FE0B66" w:rsidRDefault="00FE0B66" w:rsidP="00FE0B66">
            <w:pPr>
              <w:jc w:val="center"/>
              <w:rPr>
                <w:rFonts w:cs="Arial"/>
                <w:sz w:val="20"/>
              </w:rPr>
            </w:pPr>
          </w:p>
        </w:tc>
        <w:tc>
          <w:tcPr>
            <w:tcW w:w="1679" w:type="dxa"/>
          </w:tcPr>
          <w:p w:rsidR="00FE0B66" w:rsidRPr="00FE0B66" w:rsidRDefault="00FE0B66" w:rsidP="003C3E49">
            <w:pPr>
              <w:rPr>
                <w:rFonts w:cs="Arial"/>
                <w:b/>
                <w:sz w:val="20"/>
              </w:rPr>
            </w:pP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 xml:space="preserve">11 HYNDBURN – </w:t>
            </w:r>
          </w:p>
          <w:p w:rsidR="00FE0B66" w:rsidRPr="00FE0B66" w:rsidRDefault="00FE0B66" w:rsidP="003C3E49">
            <w:pPr>
              <w:rPr>
                <w:rFonts w:cs="Arial"/>
                <w:sz w:val="20"/>
              </w:rPr>
            </w:pPr>
            <w:r w:rsidRPr="00FE0B66">
              <w:rPr>
                <w:rFonts w:cs="Arial"/>
                <w:sz w:val="20"/>
              </w:rPr>
              <w:t xml:space="preserve">     RIBBLE VALLEY</w:t>
            </w:r>
          </w:p>
        </w:tc>
        <w:tc>
          <w:tcPr>
            <w:tcW w:w="1842" w:type="dxa"/>
          </w:tcPr>
          <w:p w:rsidR="00FE0B66" w:rsidRPr="00FE0B66" w:rsidRDefault="00FE0B66" w:rsidP="00FE0B66">
            <w:pPr>
              <w:jc w:val="center"/>
              <w:rPr>
                <w:rFonts w:cs="Arial"/>
                <w:sz w:val="20"/>
              </w:rPr>
            </w:pPr>
            <w:r w:rsidRPr="00FE0B66">
              <w:rPr>
                <w:rFonts w:cs="Arial"/>
                <w:sz w:val="20"/>
              </w:rPr>
              <w:t>13</w:t>
            </w:r>
          </w:p>
        </w:tc>
        <w:tc>
          <w:tcPr>
            <w:tcW w:w="1574" w:type="dxa"/>
          </w:tcPr>
          <w:p w:rsidR="00FE0B66" w:rsidRPr="00FE0B66" w:rsidRDefault="00FE0B66" w:rsidP="00FE0B66">
            <w:pPr>
              <w:jc w:val="center"/>
              <w:rPr>
                <w:rFonts w:cs="Arial"/>
                <w:sz w:val="20"/>
              </w:rPr>
            </w:pPr>
            <w:r w:rsidRPr="00FE0B66">
              <w:rPr>
                <w:rFonts w:cs="Arial"/>
                <w:sz w:val="20"/>
              </w:rPr>
              <w:t>14</w:t>
            </w:r>
          </w:p>
        </w:tc>
        <w:tc>
          <w:tcPr>
            <w:tcW w:w="0" w:type="auto"/>
          </w:tcPr>
          <w:p w:rsidR="00FE0B66" w:rsidRPr="00FE0B66" w:rsidRDefault="00FE0B66" w:rsidP="00FE0B66">
            <w:pPr>
              <w:jc w:val="center"/>
              <w:rPr>
                <w:rFonts w:cs="Arial"/>
                <w:sz w:val="20"/>
              </w:rPr>
            </w:pPr>
            <w:r w:rsidRPr="00FE0B66">
              <w:rPr>
                <w:rFonts w:cs="Arial"/>
                <w:sz w:val="20"/>
              </w:rPr>
              <w:t>13</w:t>
            </w:r>
          </w:p>
        </w:tc>
        <w:tc>
          <w:tcPr>
            <w:tcW w:w="1679" w:type="dxa"/>
          </w:tcPr>
          <w:p w:rsidR="00FE0B66" w:rsidRPr="00FE0B66" w:rsidRDefault="00FE0B66" w:rsidP="003C3E49">
            <w:pPr>
              <w:rPr>
                <w:rFonts w:cs="Arial"/>
                <w:b/>
                <w:sz w:val="20"/>
              </w:rPr>
            </w:pPr>
            <w:r w:rsidRPr="00FE0B66">
              <w:rPr>
                <w:rFonts w:cs="Arial"/>
                <w:b/>
                <w:sz w:val="20"/>
              </w:rPr>
              <w:t>level</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12 BURNLEY</w:t>
            </w:r>
          </w:p>
        </w:tc>
        <w:tc>
          <w:tcPr>
            <w:tcW w:w="1842" w:type="dxa"/>
          </w:tcPr>
          <w:p w:rsidR="00FE0B66" w:rsidRPr="00FE0B66" w:rsidRDefault="00FE0B66" w:rsidP="00FE0B66">
            <w:pPr>
              <w:jc w:val="center"/>
              <w:rPr>
                <w:rFonts w:cs="Arial"/>
                <w:sz w:val="20"/>
              </w:rPr>
            </w:pPr>
            <w:r w:rsidRPr="00FE0B66">
              <w:rPr>
                <w:rFonts w:cs="Arial"/>
                <w:sz w:val="20"/>
              </w:rPr>
              <w:t>9</w:t>
            </w:r>
          </w:p>
        </w:tc>
        <w:tc>
          <w:tcPr>
            <w:tcW w:w="1574" w:type="dxa"/>
          </w:tcPr>
          <w:p w:rsidR="00FE0B66" w:rsidRPr="00FE0B66" w:rsidRDefault="00FE0B66" w:rsidP="00FE0B66">
            <w:pPr>
              <w:jc w:val="center"/>
              <w:rPr>
                <w:rFonts w:cs="Arial"/>
                <w:sz w:val="20"/>
              </w:rPr>
            </w:pPr>
            <w:r w:rsidRPr="00FE0B66">
              <w:rPr>
                <w:rFonts w:cs="Arial"/>
                <w:sz w:val="20"/>
              </w:rPr>
              <w:t>11</w:t>
            </w:r>
          </w:p>
        </w:tc>
        <w:tc>
          <w:tcPr>
            <w:tcW w:w="0" w:type="auto"/>
          </w:tcPr>
          <w:p w:rsidR="00FE0B66" w:rsidRPr="00FE0B66" w:rsidRDefault="00FE0B66" w:rsidP="00FE0B66">
            <w:pPr>
              <w:jc w:val="center"/>
              <w:rPr>
                <w:rFonts w:cs="Arial"/>
                <w:sz w:val="20"/>
              </w:rPr>
            </w:pPr>
            <w:r w:rsidRPr="00FE0B66">
              <w:rPr>
                <w:rFonts w:cs="Arial"/>
                <w:sz w:val="20"/>
              </w:rPr>
              <w:t>21</w:t>
            </w:r>
          </w:p>
        </w:tc>
        <w:tc>
          <w:tcPr>
            <w:tcW w:w="1679" w:type="dxa"/>
          </w:tcPr>
          <w:p w:rsidR="00FE0B66" w:rsidRPr="00FE0B66" w:rsidRDefault="00FE0B66" w:rsidP="003C3E49">
            <w:pPr>
              <w:rPr>
                <w:rFonts w:cs="Arial"/>
                <w:b/>
                <w:sz w:val="20"/>
              </w:rPr>
            </w:pPr>
            <w:r w:rsidRPr="00FE0B66">
              <w:rPr>
                <w:rFonts w:cs="Arial"/>
                <w:b/>
                <w:sz w:val="20"/>
              </w:rPr>
              <w:t>up</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13 PENDLE</w:t>
            </w:r>
          </w:p>
        </w:tc>
        <w:tc>
          <w:tcPr>
            <w:tcW w:w="1842" w:type="dxa"/>
          </w:tcPr>
          <w:p w:rsidR="00FE0B66" w:rsidRPr="00FE0B66" w:rsidRDefault="00FE0B66" w:rsidP="00FE0B66">
            <w:pPr>
              <w:jc w:val="center"/>
              <w:rPr>
                <w:rFonts w:cs="Arial"/>
                <w:sz w:val="20"/>
              </w:rPr>
            </w:pPr>
            <w:r w:rsidRPr="00FE0B66">
              <w:rPr>
                <w:rFonts w:cs="Arial"/>
                <w:sz w:val="20"/>
              </w:rPr>
              <w:t>15</w:t>
            </w:r>
          </w:p>
        </w:tc>
        <w:tc>
          <w:tcPr>
            <w:tcW w:w="1574" w:type="dxa"/>
          </w:tcPr>
          <w:p w:rsidR="00FE0B66" w:rsidRPr="00FE0B66" w:rsidRDefault="00FE0B66" w:rsidP="00FE0B66">
            <w:pPr>
              <w:jc w:val="center"/>
              <w:rPr>
                <w:rFonts w:cs="Arial"/>
                <w:sz w:val="20"/>
              </w:rPr>
            </w:pPr>
            <w:r w:rsidRPr="00FE0B66">
              <w:rPr>
                <w:rFonts w:cs="Arial"/>
                <w:sz w:val="20"/>
              </w:rPr>
              <w:t>18</w:t>
            </w:r>
          </w:p>
        </w:tc>
        <w:tc>
          <w:tcPr>
            <w:tcW w:w="0" w:type="auto"/>
          </w:tcPr>
          <w:p w:rsidR="00FE0B66" w:rsidRPr="00FE0B66" w:rsidRDefault="00FE0B66" w:rsidP="00FE0B66">
            <w:pPr>
              <w:jc w:val="center"/>
              <w:rPr>
                <w:rFonts w:cs="Arial"/>
                <w:sz w:val="20"/>
              </w:rPr>
            </w:pPr>
            <w:r w:rsidRPr="00FE0B66">
              <w:rPr>
                <w:rFonts w:cs="Arial"/>
                <w:sz w:val="20"/>
              </w:rPr>
              <w:t>11*</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0" w:type="auto"/>
          </w:tcPr>
          <w:p w:rsidR="00FE0B66" w:rsidRPr="00FE0B66" w:rsidRDefault="00FE0B66" w:rsidP="003C3E49">
            <w:pPr>
              <w:rPr>
                <w:rFonts w:cs="Arial"/>
                <w:sz w:val="20"/>
              </w:rPr>
            </w:pPr>
            <w:r w:rsidRPr="00FE0B66">
              <w:rPr>
                <w:rFonts w:cs="Arial"/>
                <w:sz w:val="20"/>
              </w:rPr>
              <w:t>14 ROSSENDALE</w:t>
            </w:r>
          </w:p>
        </w:tc>
        <w:tc>
          <w:tcPr>
            <w:tcW w:w="1842" w:type="dxa"/>
          </w:tcPr>
          <w:p w:rsidR="00FE0B66" w:rsidRPr="00FE0B66" w:rsidRDefault="00FE0B66" w:rsidP="00FE0B66">
            <w:pPr>
              <w:jc w:val="center"/>
              <w:rPr>
                <w:rFonts w:cs="Arial"/>
                <w:sz w:val="20"/>
              </w:rPr>
            </w:pPr>
            <w:r w:rsidRPr="00FE0B66">
              <w:rPr>
                <w:rFonts w:cs="Arial"/>
                <w:sz w:val="20"/>
              </w:rPr>
              <w:t>4</w:t>
            </w:r>
          </w:p>
        </w:tc>
        <w:tc>
          <w:tcPr>
            <w:tcW w:w="1574" w:type="dxa"/>
          </w:tcPr>
          <w:p w:rsidR="00FE0B66" w:rsidRPr="00FE0B66" w:rsidRDefault="00FE0B66" w:rsidP="00FE0B66">
            <w:pPr>
              <w:jc w:val="center"/>
              <w:rPr>
                <w:rFonts w:cs="Arial"/>
                <w:sz w:val="20"/>
              </w:rPr>
            </w:pPr>
            <w:r w:rsidRPr="00FE0B66">
              <w:rPr>
                <w:rFonts w:cs="Arial"/>
                <w:sz w:val="20"/>
              </w:rPr>
              <w:t>7</w:t>
            </w:r>
          </w:p>
        </w:tc>
        <w:tc>
          <w:tcPr>
            <w:tcW w:w="0" w:type="auto"/>
          </w:tcPr>
          <w:p w:rsidR="00FE0B66" w:rsidRPr="00FE0B66" w:rsidRDefault="00FE0B66" w:rsidP="00FE0B66">
            <w:pPr>
              <w:jc w:val="center"/>
              <w:rPr>
                <w:rFonts w:cs="Arial"/>
                <w:sz w:val="20"/>
              </w:rPr>
            </w:pPr>
            <w:r w:rsidRPr="00FE0B66">
              <w:rPr>
                <w:rFonts w:cs="Arial"/>
                <w:sz w:val="20"/>
              </w:rPr>
              <w:t>2</w:t>
            </w:r>
          </w:p>
        </w:tc>
        <w:tc>
          <w:tcPr>
            <w:tcW w:w="1679" w:type="dxa"/>
          </w:tcPr>
          <w:p w:rsidR="00FE0B66" w:rsidRPr="00FE0B66" w:rsidRDefault="00FE0B66" w:rsidP="003C3E49">
            <w:pPr>
              <w:rPr>
                <w:rFonts w:cs="Arial"/>
                <w:b/>
                <w:sz w:val="20"/>
              </w:rPr>
            </w:pPr>
            <w:r w:rsidRPr="00FE0B66">
              <w:rPr>
                <w:rFonts w:cs="Arial"/>
                <w:b/>
                <w:sz w:val="20"/>
              </w:rPr>
              <w:t>down</w:t>
            </w:r>
          </w:p>
        </w:tc>
      </w:tr>
      <w:tr w:rsidR="00FE0B66" w:rsidRPr="000A1B31" w:rsidTr="00FE0B66">
        <w:tc>
          <w:tcPr>
            <w:tcW w:w="2235" w:type="dxa"/>
            <w:shd w:val="clear" w:color="auto" w:fill="E5DFEC"/>
          </w:tcPr>
          <w:p w:rsidR="00FE0B66" w:rsidRPr="00FE0B66" w:rsidRDefault="00FE0B66" w:rsidP="003C3E49">
            <w:pPr>
              <w:rPr>
                <w:rFonts w:cs="Arial"/>
                <w:b/>
                <w:sz w:val="20"/>
              </w:rPr>
            </w:pPr>
            <w:r w:rsidRPr="00FE0B66">
              <w:rPr>
                <w:rFonts w:cs="Arial"/>
                <w:b/>
                <w:sz w:val="20"/>
              </w:rPr>
              <w:t>Totals</w:t>
            </w:r>
          </w:p>
        </w:tc>
        <w:tc>
          <w:tcPr>
            <w:tcW w:w="1842" w:type="dxa"/>
            <w:shd w:val="clear" w:color="auto" w:fill="E5DFEC"/>
          </w:tcPr>
          <w:p w:rsidR="00FE0B66" w:rsidRPr="00FE0B66" w:rsidRDefault="00FE0B66" w:rsidP="00FE0B66">
            <w:pPr>
              <w:jc w:val="center"/>
              <w:rPr>
                <w:rFonts w:cs="Arial"/>
                <w:b/>
                <w:sz w:val="20"/>
              </w:rPr>
            </w:pPr>
            <w:r w:rsidRPr="00FE0B66">
              <w:rPr>
                <w:rFonts w:cs="Arial"/>
                <w:b/>
                <w:sz w:val="20"/>
              </w:rPr>
              <w:t>160</w:t>
            </w:r>
          </w:p>
        </w:tc>
        <w:tc>
          <w:tcPr>
            <w:tcW w:w="1574" w:type="dxa"/>
            <w:shd w:val="clear" w:color="auto" w:fill="E5DFEC"/>
          </w:tcPr>
          <w:p w:rsidR="00FE0B66" w:rsidRPr="00FE0B66" w:rsidRDefault="00FE0B66" w:rsidP="00FE0B66">
            <w:pPr>
              <w:jc w:val="center"/>
              <w:rPr>
                <w:rFonts w:cs="Arial"/>
                <w:b/>
                <w:sz w:val="20"/>
              </w:rPr>
            </w:pPr>
            <w:r w:rsidRPr="00FE0B66">
              <w:rPr>
                <w:rFonts w:cs="Arial"/>
                <w:b/>
                <w:sz w:val="20"/>
              </w:rPr>
              <w:t>119</w:t>
            </w:r>
          </w:p>
        </w:tc>
        <w:tc>
          <w:tcPr>
            <w:tcW w:w="0" w:type="auto"/>
            <w:shd w:val="clear" w:color="auto" w:fill="E5DFEC"/>
          </w:tcPr>
          <w:p w:rsidR="00FE0B66" w:rsidRPr="00FE0B66" w:rsidRDefault="00FE0B66" w:rsidP="00FE0B66">
            <w:pPr>
              <w:jc w:val="center"/>
              <w:rPr>
                <w:rFonts w:cs="Arial"/>
                <w:b/>
                <w:sz w:val="20"/>
              </w:rPr>
            </w:pPr>
            <w:r w:rsidRPr="00FE0B66">
              <w:rPr>
                <w:rFonts w:cs="Arial"/>
                <w:b/>
                <w:sz w:val="20"/>
              </w:rPr>
              <w:t>120</w:t>
            </w:r>
          </w:p>
        </w:tc>
        <w:tc>
          <w:tcPr>
            <w:tcW w:w="1679" w:type="dxa"/>
            <w:shd w:val="clear" w:color="auto" w:fill="E5DFEC"/>
          </w:tcPr>
          <w:p w:rsidR="00FE0B66" w:rsidRPr="00FE0B66" w:rsidRDefault="00FE0B66" w:rsidP="003C3E49">
            <w:pPr>
              <w:rPr>
                <w:rFonts w:cs="Arial"/>
                <w:b/>
                <w:sz w:val="20"/>
              </w:rPr>
            </w:pPr>
            <w:r w:rsidRPr="00FE0B66">
              <w:rPr>
                <w:rFonts w:cs="Arial"/>
                <w:b/>
                <w:sz w:val="20"/>
              </w:rPr>
              <w:t xml:space="preserve">down </w:t>
            </w:r>
          </w:p>
        </w:tc>
      </w:tr>
    </w:tbl>
    <w:p w:rsidR="00FE0B66" w:rsidRDefault="00FE0B66" w:rsidP="00FE0B66">
      <w:pPr>
        <w:rPr>
          <w:b/>
        </w:rPr>
      </w:pPr>
    </w:p>
    <w:p w:rsidR="003C3E49" w:rsidRDefault="003C3E49" w:rsidP="00FE0B66">
      <w:pPr>
        <w:rPr>
          <w:rFonts w:cs="Arial"/>
          <w:b/>
        </w:rPr>
      </w:pPr>
    </w:p>
    <w:p w:rsidR="00FE0B66" w:rsidRPr="00A8320F" w:rsidRDefault="00FE0B66" w:rsidP="00FE0B66">
      <w:pPr>
        <w:rPr>
          <w:rFonts w:cs="Arial"/>
          <w:b/>
        </w:rPr>
      </w:pPr>
      <w:r w:rsidRPr="00A8320F">
        <w:rPr>
          <w:rFonts w:cs="Arial"/>
          <w:b/>
        </w:rPr>
        <w:t>Key Points:</w:t>
      </w:r>
    </w:p>
    <w:p w:rsidR="00FE0B66" w:rsidRPr="003C3E49" w:rsidRDefault="00FE0B66" w:rsidP="000116FB">
      <w:pPr>
        <w:pStyle w:val="ListParagraph"/>
        <w:numPr>
          <w:ilvl w:val="0"/>
          <w:numId w:val="9"/>
        </w:numPr>
        <w:spacing w:line="240" w:lineRule="auto"/>
        <w:jc w:val="both"/>
        <w:rPr>
          <w:rFonts w:ascii="Arial" w:hAnsi="Arial" w:cs="Arial"/>
          <w:sz w:val="24"/>
          <w:szCs w:val="24"/>
        </w:rPr>
      </w:pPr>
      <w:r w:rsidRPr="003C3E49">
        <w:rPr>
          <w:rFonts w:ascii="Arial" w:hAnsi="Arial" w:cs="Arial"/>
          <w:sz w:val="24"/>
          <w:szCs w:val="24"/>
        </w:rPr>
        <w:t>The trend over the last 3 years has been a reduction in permanent exclusions in the majority of districts with an overall decrease in secondary permanent exclusions across Lancashire of 1% in 2012-13.  In 2012-13 Preston remains one of the highest excluding districts with Burnley showing a marked increase in exclusions from previous years.</w:t>
      </w:r>
    </w:p>
    <w:p w:rsidR="004666BB" w:rsidRDefault="004666BB" w:rsidP="004666BB">
      <w:pPr>
        <w:pStyle w:val="ListParagraph"/>
        <w:numPr>
          <w:ilvl w:val="0"/>
          <w:numId w:val="9"/>
        </w:numPr>
        <w:spacing w:after="0" w:line="240" w:lineRule="auto"/>
        <w:contextualSpacing w:val="0"/>
        <w:jc w:val="both"/>
        <w:rPr>
          <w:rFonts w:ascii="Arial" w:hAnsi="Arial" w:cs="Arial"/>
          <w:sz w:val="24"/>
          <w:szCs w:val="24"/>
        </w:rPr>
      </w:pPr>
      <w:r>
        <w:rPr>
          <w:rFonts w:ascii="Arial" w:hAnsi="Arial" w:cs="Arial"/>
          <w:sz w:val="24"/>
          <w:szCs w:val="24"/>
        </w:rPr>
        <w:t>There has been a 15% increase in permanent exclusions in academies - however this only represents an additional 3 exclusions.</w:t>
      </w:r>
    </w:p>
    <w:p w:rsidR="00FE0B66" w:rsidRPr="003C3E49" w:rsidRDefault="00FE0B66" w:rsidP="004666BB">
      <w:pPr>
        <w:pStyle w:val="ListParagraph"/>
        <w:numPr>
          <w:ilvl w:val="0"/>
          <w:numId w:val="9"/>
        </w:numPr>
        <w:spacing w:after="0" w:line="240" w:lineRule="auto"/>
        <w:jc w:val="both"/>
        <w:rPr>
          <w:rFonts w:ascii="Arial" w:hAnsi="Arial" w:cs="Arial"/>
          <w:sz w:val="24"/>
          <w:szCs w:val="24"/>
        </w:rPr>
      </w:pPr>
      <w:r w:rsidRPr="003C3E49">
        <w:rPr>
          <w:rFonts w:ascii="Arial" w:hAnsi="Arial" w:cs="Arial"/>
          <w:sz w:val="24"/>
          <w:szCs w:val="24"/>
        </w:rPr>
        <w:t>The decrease in exclusions is related to an increased use of the secondary P</w:t>
      </w:r>
      <w:r w:rsidR="00DA1434">
        <w:rPr>
          <w:rFonts w:ascii="Arial" w:hAnsi="Arial" w:cs="Arial"/>
          <w:sz w:val="24"/>
          <w:szCs w:val="24"/>
        </w:rPr>
        <w:t xml:space="preserve">upil </w:t>
      </w:r>
      <w:r w:rsidRPr="003C3E49">
        <w:rPr>
          <w:rFonts w:ascii="Arial" w:hAnsi="Arial" w:cs="Arial"/>
          <w:sz w:val="24"/>
          <w:szCs w:val="24"/>
        </w:rPr>
        <w:t>R</w:t>
      </w:r>
      <w:r w:rsidR="00DA1434">
        <w:rPr>
          <w:rFonts w:ascii="Arial" w:hAnsi="Arial" w:cs="Arial"/>
          <w:sz w:val="24"/>
          <w:szCs w:val="24"/>
        </w:rPr>
        <w:t xml:space="preserve">eferral </w:t>
      </w:r>
      <w:r w:rsidRPr="003C3E49">
        <w:rPr>
          <w:rFonts w:ascii="Arial" w:hAnsi="Arial" w:cs="Arial"/>
          <w:sz w:val="24"/>
          <w:szCs w:val="24"/>
        </w:rPr>
        <w:t>U</w:t>
      </w:r>
      <w:r w:rsidR="00DA1434">
        <w:rPr>
          <w:rFonts w:ascii="Arial" w:hAnsi="Arial" w:cs="Arial"/>
          <w:sz w:val="24"/>
          <w:szCs w:val="24"/>
        </w:rPr>
        <w:t>nit (PRU)</w:t>
      </w:r>
      <w:r w:rsidRPr="003C3E49">
        <w:rPr>
          <w:rFonts w:ascii="Arial" w:hAnsi="Arial" w:cs="Arial"/>
          <w:sz w:val="24"/>
          <w:szCs w:val="24"/>
        </w:rPr>
        <w:t xml:space="preserve"> network in the provision of short term intervention programmes- mainly at Key stage 3 and the provision of full and part time alternative curriculum programmes offered within all PRUs for Key Stage 4 </w:t>
      </w:r>
      <w:r w:rsidRPr="003C3E49">
        <w:rPr>
          <w:rFonts w:ascii="Arial" w:hAnsi="Arial" w:cs="Arial"/>
          <w:sz w:val="24"/>
          <w:szCs w:val="24"/>
        </w:rPr>
        <w:lastRenderedPageBreak/>
        <w:t>pupils.  Some of the intervention programmes are commissioned by district schools and individual programmes for KS4 pupils are supported by funding from their mainstream school.</w:t>
      </w:r>
      <w:r w:rsidR="00DA1434">
        <w:rPr>
          <w:rFonts w:ascii="Arial" w:hAnsi="Arial" w:cs="Arial"/>
          <w:sz w:val="24"/>
          <w:szCs w:val="24"/>
        </w:rPr>
        <w:t xml:space="preserve">  </w:t>
      </w:r>
      <w:r w:rsidRPr="003C3E49">
        <w:rPr>
          <w:rFonts w:ascii="Arial" w:hAnsi="Arial" w:cs="Arial"/>
          <w:sz w:val="24"/>
          <w:szCs w:val="24"/>
        </w:rPr>
        <w:t xml:space="preserve"> This has resulted in the majority of pupils on roll in most PRUs being dual rolled with a mainstream school.  For Key Stage 4 pupils this usually means all of their education is provided by the PRU, therefore they are not excluded but not being educated within mainstream.</w:t>
      </w:r>
    </w:p>
    <w:p w:rsidR="00FE0B66" w:rsidRPr="003C3E49" w:rsidRDefault="00FE0B66" w:rsidP="000116FB">
      <w:pPr>
        <w:pStyle w:val="ListParagraph"/>
        <w:numPr>
          <w:ilvl w:val="0"/>
          <w:numId w:val="9"/>
        </w:numPr>
        <w:spacing w:line="240" w:lineRule="auto"/>
        <w:jc w:val="both"/>
        <w:rPr>
          <w:rFonts w:ascii="Arial" w:hAnsi="Arial" w:cs="Arial"/>
          <w:sz w:val="24"/>
          <w:szCs w:val="24"/>
        </w:rPr>
      </w:pPr>
      <w:r w:rsidRPr="003C3E49">
        <w:rPr>
          <w:rFonts w:ascii="Arial" w:hAnsi="Arial" w:cs="Arial"/>
          <w:sz w:val="24"/>
          <w:szCs w:val="24"/>
        </w:rPr>
        <w:t xml:space="preserve">There has been a clear correlation identified between the exclusion of pupils with </w:t>
      </w:r>
      <w:r w:rsidR="00DA1434">
        <w:rPr>
          <w:rFonts w:ascii="Arial" w:hAnsi="Arial" w:cs="Arial"/>
          <w:sz w:val="24"/>
          <w:szCs w:val="24"/>
        </w:rPr>
        <w:t>Special Educational Needs (</w:t>
      </w:r>
      <w:r w:rsidRPr="003C3E49">
        <w:rPr>
          <w:rFonts w:ascii="Arial" w:hAnsi="Arial" w:cs="Arial"/>
          <w:sz w:val="24"/>
          <w:szCs w:val="24"/>
        </w:rPr>
        <w:t>SEN</w:t>
      </w:r>
      <w:r w:rsidR="00DA1434">
        <w:rPr>
          <w:rFonts w:ascii="Arial" w:hAnsi="Arial" w:cs="Arial"/>
          <w:sz w:val="24"/>
          <w:szCs w:val="24"/>
        </w:rPr>
        <w:t>D)</w:t>
      </w:r>
      <w:r w:rsidRPr="003C3E49">
        <w:rPr>
          <w:rFonts w:ascii="Arial" w:hAnsi="Arial" w:cs="Arial"/>
          <w:sz w:val="24"/>
          <w:szCs w:val="24"/>
        </w:rPr>
        <w:t>, assessed and unidentified, and the risk of exclusion. This is reflected in the number of young people within the PRUs who require statutory assessment. This is a national issue reflected in Lancashire at both secondary and primary level. There is a concern that changes within the DFE SEN</w:t>
      </w:r>
      <w:r w:rsidR="00DA1434">
        <w:rPr>
          <w:rFonts w:ascii="Arial" w:hAnsi="Arial" w:cs="Arial"/>
          <w:sz w:val="24"/>
          <w:szCs w:val="24"/>
        </w:rPr>
        <w:t>D</w:t>
      </w:r>
      <w:r w:rsidRPr="003C3E49">
        <w:rPr>
          <w:rFonts w:ascii="Arial" w:hAnsi="Arial" w:cs="Arial"/>
          <w:sz w:val="24"/>
          <w:szCs w:val="24"/>
        </w:rPr>
        <w:t xml:space="preserve"> processes could impact further on this.</w:t>
      </w:r>
    </w:p>
    <w:p w:rsidR="00FE0B66" w:rsidRPr="003C3E49" w:rsidRDefault="00FE0B66" w:rsidP="000116FB">
      <w:pPr>
        <w:pStyle w:val="ListParagraph"/>
        <w:numPr>
          <w:ilvl w:val="0"/>
          <w:numId w:val="9"/>
        </w:numPr>
        <w:spacing w:line="240" w:lineRule="auto"/>
        <w:jc w:val="both"/>
        <w:rPr>
          <w:rFonts w:ascii="Arial" w:hAnsi="Arial" w:cs="Arial"/>
          <w:b/>
          <w:sz w:val="24"/>
          <w:szCs w:val="24"/>
        </w:rPr>
      </w:pPr>
      <w:r w:rsidRPr="003C3E49">
        <w:rPr>
          <w:rFonts w:ascii="Arial" w:hAnsi="Arial" w:cs="Arial"/>
          <w:sz w:val="24"/>
          <w:szCs w:val="24"/>
        </w:rPr>
        <w:t>Since April 2013 Pupil referral Units have had delegated funding and responsibilities for staffing and are now longer managed by Local Authorities. However the responsibility for the provision of education for excluded pupils (and those out of mainstream school due to medical issues) remains with the LA. It is unclear at this point if this will have any impact on the education of excluded pupil.  However, if the DFE proposal to shift responsibility for excluded pupils to mainstream schools is ratified, there may be a period of increased exclusions prior to the</w:t>
      </w:r>
      <w:r w:rsidRPr="003C3E49">
        <w:rPr>
          <w:rFonts w:ascii="Arial" w:hAnsi="Arial" w:cs="Arial"/>
          <w:b/>
          <w:sz w:val="24"/>
          <w:szCs w:val="24"/>
        </w:rPr>
        <w:t xml:space="preserve"> </w:t>
      </w:r>
      <w:r w:rsidRPr="003C3E49">
        <w:rPr>
          <w:rFonts w:ascii="Arial" w:hAnsi="Arial" w:cs="Arial"/>
          <w:sz w:val="24"/>
          <w:szCs w:val="24"/>
        </w:rPr>
        <w:t>changes.</w:t>
      </w:r>
      <w:r w:rsidRPr="003C3E49">
        <w:rPr>
          <w:rFonts w:ascii="Arial" w:hAnsi="Arial" w:cs="Arial"/>
          <w:b/>
          <w:sz w:val="24"/>
          <w:szCs w:val="24"/>
        </w:rPr>
        <w:t xml:space="preserve"> </w:t>
      </w:r>
    </w:p>
    <w:p w:rsidR="00FE0B66" w:rsidRDefault="00FE0B66" w:rsidP="00FE0B66">
      <w:pPr>
        <w:rPr>
          <w:rFonts w:cs="Arial"/>
          <w:b/>
        </w:rPr>
      </w:pPr>
      <w:r w:rsidRPr="00A8320F">
        <w:rPr>
          <w:rFonts w:cs="Arial"/>
          <w:b/>
        </w:rPr>
        <w:t>Strategies:</w:t>
      </w:r>
    </w:p>
    <w:p w:rsidR="00D35E0E" w:rsidRPr="00A8320F" w:rsidRDefault="00D35E0E" w:rsidP="00FE0B66">
      <w:pPr>
        <w:rPr>
          <w:rFonts w:cs="Arial"/>
          <w:b/>
        </w:rPr>
      </w:pPr>
    </w:p>
    <w:p w:rsidR="00FE0B66" w:rsidRDefault="00FE0B66" w:rsidP="000116FB">
      <w:pPr>
        <w:jc w:val="both"/>
        <w:rPr>
          <w:rFonts w:cs="Arial"/>
        </w:rPr>
      </w:pPr>
      <w:r w:rsidRPr="00A8320F">
        <w:rPr>
          <w:rFonts w:cs="Arial"/>
        </w:rPr>
        <w:t xml:space="preserve">Lancashire is participating in the 3 year DFE National Exclusion Trial, due to end in July 2014. This is testing a proposal to shift the responsibility for permanently excluded pupils from the Local Authority to school. Five districts within Lancashire are taking part and providing a range of data to the DFE. Each district has agreed a collaborative intervention project for Key Stage 3 pupils, which has been delivered through their local PRU. Each district also has a Fair Access or Behaviour Panel system to manage moves, reintegration and access to intervention. These programmes are currently being evaluated for the Year 2012-13, but initial signs show a reduction in KS3 exclusions in these areas. </w:t>
      </w:r>
    </w:p>
    <w:p w:rsidR="00D35E0E" w:rsidRPr="00A8320F" w:rsidRDefault="00D35E0E" w:rsidP="00FE0B66">
      <w:pPr>
        <w:rPr>
          <w:rFonts w:cs="Arial"/>
        </w:rPr>
      </w:pPr>
    </w:p>
    <w:p w:rsidR="00FE0B66" w:rsidRDefault="00FE0B66" w:rsidP="000116FB">
      <w:pPr>
        <w:jc w:val="both"/>
        <w:rPr>
          <w:rFonts w:cs="Arial"/>
        </w:rPr>
      </w:pPr>
      <w:r w:rsidRPr="00A8320F">
        <w:rPr>
          <w:rFonts w:cs="Arial"/>
        </w:rPr>
        <w:t xml:space="preserve">The development of Fair Access District panels, both within trial districts and others, has shown to have a generally positive impact on exclusion and rate of reintegration. This may be due in some part to the increased transparency between schools and a degree of 'peer' pressure. </w:t>
      </w:r>
    </w:p>
    <w:p w:rsidR="00D35E0E" w:rsidRPr="00A8320F" w:rsidRDefault="00D35E0E" w:rsidP="00FE0B66">
      <w:pPr>
        <w:rPr>
          <w:rFonts w:cs="Arial"/>
        </w:rPr>
      </w:pPr>
    </w:p>
    <w:p w:rsidR="00FE0B66" w:rsidRDefault="00FE0B66" w:rsidP="000116FB">
      <w:pPr>
        <w:jc w:val="both"/>
        <w:rPr>
          <w:rFonts w:cs="Arial"/>
        </w:rPr>
      </w:pPr>
      <w:r w:rsidRPr="00A8320F">
        <w:rPr>
          <w:rFonts w:cs="Arial"/>
        </w:rPr>
        <w:t xml:space="preserve">The School Forum High Need Working Group has recently supported the setting up of a Task and Finish group, led by </w:t>
      </w:r>
      <w:r w:rsidR="00DA1434">
        <w:rPr>
          <w:rFonts w:cs="Arial"/>
        </w:rPr>
        <w:t>Inclusion Disability and Support Service (</w:t>
      </w:r>
      <w:r w:rsidRPr="00A8320F">
        <w:rPr>
          <w:rFonts w:cs="Arial"/>
        </w:rPr>
        <w:t>IDSS</w:t>
      </w:r>
      <w:r w:rsidR="00DA1434">
        <w:rPr>
          <w:rFonts w:cs="Arial"/>
        </w:rPr>
        <w:t>)</w:t>
      </w:r>
      <w:r w:rsidRPr="00A8320F">
        <w:rPr>
          <w:rFonts w:cs="Arial"/>
        </w:rPr>
        <w:t>, to look into the relationship between SEN</w:t>
      </w:r>
      <w:r w:rsidR="00DA1434">
        <w:rPr>
          <w:rFonts w:cs="Arial"/>
        </w:rPr>
        <w:t>D</w:t>
      </w:r>
      <w:r w:rsidRPr="00A8320F">
        <w:rPr>
          <w:rFonts w:cs="Arial"/>
        </w:rPr>
        <w:t xml:space="preserve"> and exclusion in order to more thoroughly analyse the trends and issues within Lancashire and develop strategies to address those issues that are identified.</w:t>
      </w:r>
    </w:p>
    <w:p w:rsidR="000116FB" w:rsidRPr="00A8320F" w:rsidRDefault="000116FB" w:rsidP="000116FB">
      <w:pPr>
        <w:jc w:val="both"/>
        <w:rPr>
          <w:rFonts w:cs="Arial"/>
        </w:rPr>
      </w:pPr>
    </w:p>
    <w:p w:rsidR="00FE0B66" w:rsidRDefault="00FE0B66" w:rsidP="000116FB">
      <w:pPr>
        <w:jc w:val="both"/>
        <w:rPr>
          <w:rFonts w:cs="Arial"/>
        </w:rPr>
      </w:pPr>
      <w:r w:rsidRPr="00A8320F">
        <w:rPr>
          <w:rFonts w:cs="Arial"/>
        </w:rPr>
        <w:t xml:space="preserve">There are regular meetings of Pupil Access Team officers, </w:t>
      </w:r>
      <w:r w:rsidR="00DA1434">
        <w:rPr>
          <w:rFonts w:cs="Arial"/>
        </w:rPr>
        <w:t>Alternative and Complimentary Education and Residential Services (</w:t>
      </w:r>
      <w:r w:rsidRPr="00A8320F">
        <w:rPr>
          <w:rFonts w:cs="Arial"/>
        </w:rPr>
        <w:t>ACERS</w:t>
      </w:r>
      <w:r w:rsidR="00DA1434">
        <w:rPr>
          <w:rFonts w:cs="Arial"/>
        </w:rPr>
        <w:t>)</w:t>
      </w:r>
      <w:r w:rsidRPr="00A8320F">
        <w:rPr>
          <w:rFonts w:cs="Arial"/>
        </w:rPr>
        <w:t xml:space="preserve"> Managers and Head Teachers of the PRUs, to discuss related issues across the authority and within areas. Data is analysed, trends discussed and good practice shared.</w:t>
      </w:r>
    </w:p>
    <w:p w:rsidR="000116FB" w:rsidRPr="00A8320F" w:rsidRDefault="000116FB" w:rsidP="000116FB">
      <w:pPr>
        <w:jc w:val="both"/>
        <w:rPr>
          <w:rFonts w:cs="Arial"/>
        </w:rPr>
      </w:pPr>
    </w:p>
    <w:p w:rsidR="00FE0B66" w:rsidRPr="001A3DCF" w:rsidRDefault="00FE0B66" w:rsidP="000116FB">
      <w:pPr>
        <w:jc w:val="both"/>
        <w:rPr>
          <w:rFonts w:cs="Arial"/>
        </w:rPr>
      </w:pPr>
      <w:r w:rsidRPr="00A8320F">
        <w:rPr>
          <w:rFonts w:cs="Arial"/>
        </w:rPr>
        <w:lastRenderedPageBreak/>
        <w:t>The Head Teachers of the PRUs are all active members of their district Head Teacher forums. Over recent years this has had a positive impact on raising the profile of exclusion issues and developing more positive working partnership between the PRU and mainstream schools</w:t>
      </w:r>
    </w:p>
    <w:p w:rsidR="00FE0B66" w:rsidRDefault="00FE0B66" w:rsidP="00FE0B66">
      <w:pPr>
        <w:rPr>
          <w:rFonts w:cs="Arial"/>
          <w:b/>
          <w:sz w:val="20"/>
        </w:rPr>
      </w:pPr>
    </w:p>
    <w:p w:rsidR="00FE0B66" w:rsidRPr="00A8320F" w:rsidRDefault="00FE0B66" w:rsidP="00FE0B66">
      <w:pPr>
        <w:rPr>
          <w:rFonts w:cs="Arial"/>
          <w:b/>
          <w:sz w:val="28"/>
          <w:szCs w:val="28"/>
        </w:rPr>
      </w:pPr>
      <w:r w:rsidRPr="00A8320F">
        <w:rPr>
          <w:rFonts w:cs="Arial"/>
          <w:b/>
          <w:sz w:val="28"/>
          <w:szCs w:val="28"/>
        </w:rPr>
        <w:t>Primary</w:t>
      </w:r>
    </w:p>
    <w:p w:rsidR="00FE0B66" w:rsidRDefault="00FE0B66" w:rsidP="00FE0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276"/>
        <w:gridCol w:w="1275"/>
        <w:gridCol w:w="1134"/>
        <w:gridCol w:w="1134"/>
      </w:tblGrid>
      <w:tr w:rsidR="00FE0B66" w:rsidRPr="000949D1" w:rsidTr="00FE0B66">
        <w:tc>
          <w:tcPr>
            <w:tcW w:w="2093" w:type="dxa"/>
          </w:tcPr>
          <w:p w:rsidR="00FE0B66" w:rsidRPr="00FE0B66" w:rsidRDefault="00FE0B66" w:rsidP="003C3E49">
            <w:pPr>
              <w:rPr>
                <w:rFonts w:cs="Arial"/>
                <w:szCs w:val="24"/>
              </w:rPr>
            </w:pPr>
            <w:r w:rsidRPr="00FE0B66">
              <w:rPr>
                <w:rFonts w:cs="Arial"/>
                <w:szCs w:val="24"/>
              </w:rPr>
              <w:t>Primary</w:t>
            </w:r>
          </w:p>
          <w:p w:rsidR="00FE0B66" w:rsidRPr="00FE0B66" w:rsidRDefault="00FE0B66" w:rsidP="003C3E49">
            <w:pPr>
              <w:rPr>
                <w:rFonts w:cs="Arial"/>
                <w:szCs w:val="24"/>
              </w:rPr>
            </w:pPr>
            <w:r w:rsidRPr="00FE0B66">
              <w:rPr>
                <w:rFonts w:cs="Arial"/>
                <w:szCs w:val="24"/>
              </w:rPr>
              <w:t>Permanent</w:t>
            </w:r>
          </w:p>
        </w:tc>
        <w:tc>
          <w:tcPr>
            <w:tcW w:w="1276" w:type="dxa"/>
          </w:tcPr>
          <w:p w:rsidR="00FE0B66" w:rsidRPr="00FE0B66" w:rsidRDefault="00FE0B66" w:rsidP="003C3E49">
            <w:pPr>
              <w:rPr>
                <w:rFonts w:cs="Arial"/>
                <w:b/>
                <w:szCs w:val="24"/>
              </w:rPr>
            </w:pPr>
            <w:r w:rsidRPr="00FE0B66">
              <w:rPr>
                <w:rFonts w:cs="Arial"/>
                <w:b/>
                <w:szCs w:val="24"/>
              </w:rPr>
              <w:t>2010-11</w:t>
            </w:r>
          </w:p>
        </w:tc>
        <w:tc>
          <w:tcPr>
            <w:tcW w:w="1275" w:type="dxa"/>
          </w:tcPr>
          <w:p w:rsidR="00FE0B66" w:rsidRPr="00FE0B66" w:rsidRDefault="00FE0B66" w:rsidP="003C3E49">
            <w:pPr>
              <w:rPr>
                <w:rFonts w:cs="Arial"/>
                <w:b/>
                <w:szCs w:val="24"/>
              </w:rPr>
            </w:pPr>
            <w:r w:rsidRPr="00FE0B66">
              <w:rPr>
                <w:rFonts w:cs="Arial"/>
                <w:b/>
                <w:szCs w:val="24"/>
              </w:rPr>
              <w:t>2011-12</w:t>
            </w:r>
          </w:p>
        </w:tc>
        <w:tc>
          <w:tcPr>
            <w:tcW w:w="1134" w:type="dxa"/>
          </w:tcPr>
          <w:p w:rsidR="00FE0B66" w:rsidRPr="00FE0B66" w:rsidRDefault="00FE0B66" w:rsidP="003C3E49">
            <w:pPr>
              <w:rPr>
                <w:rFonts w:cs="Arial"/>
                <w:b/>
                <w:szCs w:val="24"/>
              </w:rPr>
            </w:pPr>
            <w:r w:rsidRPr="00FE0B66">
              <w:rPr>
                <w:rFonts w:cs="Arial"/>
                <w:b/>
                <w:szCs w:val="24"/>
              </w:rPr>
              <w:t>2012-13</w:t>
            </w:r>
          </w:p>
        </w:tc>
        <w:tc>
          <w:tcPr>
            <w:tcW w:w="1134" w:type="dxa"/>
          </w:tcPr>
          <w:p w:rsidR="00FE0B66" w:rsidRPr="00FE0B66" w:rsidRDefault="00FE0B66" w:rsidP="003C3E49">
            <w:pPr>
              <w:rPr>
                <w:rFonts w:cs="Arial"/>
                <w:b/>
                <w:szCs w:val="24"/>
              </w:rPr>
            </w:pPr>
            <w:r w:rsidRPr="00FE0B66">
              <w:rPr>
                <w:rFonts w:cs="Arial"/>
                <w:b/>
                <w:szCs w:val="24"/>
              </w:rPr>
              <w:t>Trend</w:t>
            </w:r>
          </w:p>
        </w:tc>
      </w:tr>
      <w:tr w:rsidR="00FE0B66" w:rsidRPr="000949D1" w:rsidTr="00FE0B66">
        <w:tc>
          <w:tcPr>
            <w:tcW w:w="2093" w:type="dxa"/>
            <w:shd w:val="clear" w:color="auto" w:fill="DAEEF3"/>
          </w:tcPr>
          <w:p w:rsidR="00FE0B66" w:rsidRPr="00FE0B66" w:rsidRDefault="00FE0B66" w:rsidP="003C3E49">
            <w:pPr>
              <w:rPr>
                <w:rFonts w:cs="Arial"/>
                <w:b/>
                <w:szCs w:val="24"/>
              </w:rPr>
            </w:pPr>
            <w:r w:rsidRPr="00FE0B66">
              <w:rPr>
                <w:rFonts w:cs="Arial"/>
                <w:b/>
                <w:szCs w:val="24"/>
              </w:rPr>
              <w:t>NORTH</w:t>
            </w:r>
          </w:p>
        </w:tc>
        <w:tc>
          <w:tcPr>
            <w:tcW w:w="1276" w:type="dxa"/>
          </w:tcPr>
          <w:p w:rsidR="00FE0B66" w:rsidRPr="00FE0B66" w:rsidRDefault="00FE0B66" w:rsidP="00FE0B66">
            <w:pPr>
              <w:jc w:val="center"/>
              <w:rPr>
                <w:rFonts w:cs="Arial"/>
                <w:szCs w:val="24"/>
              </w:rPr>
            </w:pPr>
            <w:r w:rsidRPr="00FE0B66">
              <w:rPr>
                <w:rFonts w:cs="Arial"/>
                <w:szCs w:val="24"/>
              </w:rPr>
              <w:t>10</w:t>
            </w:r>
          </w:p>
        </w:tc>
        <w:tc>
          <w:tcPr>
            <w:tcW w:w="1275" w:type="dxa"/>
          </w:tcPr>
          <w:p w:rsidR="00FE0B66" w:rsidRPr="00FE0B66" w:rsidRDefault="00FE0B66" w:rsidP="00FE0B66">
            <w:pPr>
              <w:jc w:val="center"/>
              <w:rPr>
                <w:rFonts w:cs="Arial"/>
                <w:szCs w:val="24"/>
              </w:rPr>
            </w:pPr>
            <w:r w:rsidRPr="00FE0B66">
              <w:rPr>
                <w:rFonts w:cs="Arial"/>
                <w:szCs w:val="24"/>
              </w:rPr>
              <w:t>6</w:t>
            </w:r>
          </w:p>
        </w:tc>
        <w:tc>
          <w:tcPr>
            <w:tcW w:w="1134" w:type="dxa"/>
          </w:tcPr>
          <w:p w:rsidR="00FE0B66" w:rsidRPr="00FE0B66" w:rsidRDefault="00FE0B66" w:rsidP="00FE0B66">
            <w:pPr>
              <w:jc w:val="center"/>
              <w:rPr>
                <w:rFonts w:cs="Arial"/>
                <w:szCs w:val="24"/>
              </w:rPr>
            </w:pPr>
            <w:r w:rsidRPr="00FE0B66">
              <w:rPr>
                <w:rFonts w:cs="Arial"/>
                <w:szCs w:val="24"/>
              </w:rPr>
              <w:t>5</w:t>
            </w:r>
          </w:p>
        </w:tc>
        <w:tc>
          <w:tcPr>
            <w:tcW w:w="1134" w:type="dxa"/>
          </w:tcPr>
          <w:p w:rsidR="00FE0B66" w:rsidRPr="00FE0B66" w:rsidRDefault="00FE0B66" w:rsidP="003C3E49">
            <w:pPr>
              <w:rPr>
                <w:rFonts w:cs="Arial"/>
                <w:b/>
                <w:szCs w:val="24"/>
              </w:rPr>
            </w:pPr>
            <w:r w:rsidRPr="00FE0B66">
              <w:rPr>
                <w:rFonts w:cs="Arial"/>
                <w:b/>
                <w:szCs w:val="24"/>
              </w:rPr>
              <w:t>down</w:t>
            </w:r>
          </w:p>
        </w:tc>
      </w:tr>
      <w:tr w:rsidR="00FE0B66" w:rsidRPr="000949D1" w:rsidTr="00FE0B66">
        <w:tc>
          <w:tcPr>
            <w:tcW w:w="2093" w:type="dxa"/>
            <w:shd w:val="clear" w:color="auto" w:fill="DAEEF3"/>
          </w:tcPr>
          <w:p w:rsidR="00FE0B66" w:rsidRPr="00FE0B66" w:rsidRDefault="00FE0B66" w:rsidP="003C3E49">
            <w:pPr>
              <w:rPr>
                <w:rFonts w:cs="Arial"/>
                <w:b/>
                <w:szCs w:val="24"/>
              </w:rPr>
            </w:pPr>
            <w:r w:rsidRPr="00FE0B66">
              <w:rPr>
                <w:rFonts w:cs="Arial"/>
                <w:b/>
                <w:szCs w:val="24"/>
              </w:rPr>
              <w:t>SOUTH</w:t>
            </w:r>
          </w:p>
        </w:tc>
        <w:tc>
          <w:tcPr>
            <w:tcW w:w="1276" w:type="dxa"/>
          </w:tcPr>
          <w:p w:rsidR="00FE0B66" w:rsidRPr="00FE0B66" w:rsidRDefault="00FE0B66" w:rsidP="00FE0B66">
            <w:pPr>
              <w:jc w:val="center"/>
              <w:rPr>
                <w:rFonts w:cs="Arial"/>
                <w:b/>
                <w:szCs w:val="24"/>
              </w:rPr>
            </w:pPr>
            <w:r w:rsidRPr="00FE0B66">
              <w:rPr>
                <w:rFonts w:cs="Arial"/>
                <w:b/>
                <w:szCs w:val="24"/>
              </w:rPr>
              <w:t>23</w:t>
            </w:r>
          </w:p>
        </w:tc>
        <w:tc>
          <w:tcPr>
            <w:tcW w:w="1275" w:type="dxa"/>
          </w:tcPr>
          <w:p w:rsidR="00FE0B66" w:rsidRPr="00FE0B66" w:rsidRDefault="00FE0B66" w:rsidP="00FE0B66">
            <w:pPr>
              <w:jc w:val="center"/>
              <w:rPr>
                <w:rFonts w:cs="Arial"/>
                <w:b/>
                <w:szCs w:val="24"/>
              </w:rPr>
            </w:pPr>
            <w:r w:rsidRPr="00FE0B66">
              <w:rPr>
                <w:rFonts w:cs="Arial"/>
                <w:b/>
                <w:szCs w:val="24"/>
              </w:rPr>
              <w:t>16</w:t>
            </w:r>
          </w:p>
        </w:tc>
        <w:tc>
          <w:tcPr>
            <w:tcW w:w="1134" w:type="dxa"/>
          </w:tcPr>
          <w:p w:rsidR="00FE0B66" w:rsidRPr="00FE0B66" w:rsidRDefault="00FE0B66" w:rsidP="00FE0B66">
            <w:pPr>
              <w:jc w:val="center"/>
              <w:rPr>
                <w:rFonts w:cs="Arial"/>
                <w:b/>
                <w:szCs w:val="24"/>
              </w:rPr>
            </w:pPr>
            <w:r w:rsidRPr="00FE0B66">
              <w:rPr>
                <w:rFonts w:cs="Arial"/>
                <w:b/>
                <w:szCs w:val="24"/>
              </w:rPr>
              <w:t>27</w:t>
            </w:r>
          </w:p>
        </w:tc>
        <w:tc>
          <w:tcPr>
            <w:tcW w:w="1134" w:type="dxa"/>
          </w:tcPr>
          <w:p w:rsidR="00FE0B66" w:rsidRPr="00FE0B66" w:rsidRDefault="00FE0B66" w:rsidP="003C3E49">
            <w:pPr>
              <w:rPr>
                <w:rFonts w:cs="Arial"/>
                <w:b/>
                <w:szCs w:val="24"/>
              </w:rPr>
            </w:pPr>
            <w:r w:rsidRPr="00FE0B66">
              <w:rPr>
                <w:rFonts w:cs="Arial"/>
                <w:b/>
                <w:szCs w:val="24"/>
              </w:rPr>
              <w:t>up</w:t>
            </w:r>
          </w:p>
        </w:tc>
      </w:tr>
      <w:tr w:rsidR="00FE0B66" w:rsidRPr="000949D1" w:rsidTr="00FE0B66">
        <w:tc>
          <w:tcPr>
            <w:tcW w:w="2093" w:type="dxa"/>
            <w:shd w:val="clear" w:color="auto" w:fill="DAEEF3"/>
          </w:tcPr>
          <w:p w:rsidR="00FE0B66" w:rsidRPr="00FE0B66" w:rsidRDefault="00FE0B66" w:rsidP="003C3E49">
            <w:pPr>
              <w:rPr>
                <w:rFonts w:cs="Arial"/>
                <w:b/>
                <w:szCs w:val="24"/>
              </w:rPr>
            </w:pPr>
            <w:r w:rsidRPr="00FE0B66">
              <w:rPr>
                <w:rFonts w:cs="Arial"/>
                <w:b/>
                <w:szCs w:val="24"/>
              </w:rPr>
              <w:t>EAST</w:t>
            </w:r>
          </w:p>
        </w:tc>
        <w:tc>
          <w:tcPr>
            <w:tcW w:w="1276" w:type="dxa"/>
          </w:tcPr>
          <w:p w:rsidR="00FE0B66" w:rsidRPr="00FE0B66" w:rsidRDefault="00FE0B66" w:rsidP="00FE0B66">
            <w:pPr>
              <w:jc w:val="center"/>
              <w:rPr>
                <w:rFonts w:cs="Arial"/>
                <w:szCs w:val="24"/>
              </w:rPr>
            </w:pPr>
            <w:r w:rsidRPr="00FE0B66">
              <w:rPr>
                <w:rFonts w:cs="Arial"/>
                <w:szCs w:val="24"/>
              </w:rPr>
              <w:t>1</w:t>
            </w:r>
          </w:p>
        </w:tc>
        <w:tc>
          <w:tcPr>
            <w:tcW w:w="1275" w:type="dxa"/>
          </w:tcPr>
          <w:p w:rsidR="00FE0B66" w:rsidRPr="00FE0B66" w:rsidRDefault="00FE0B66" w:rsidP="00FE0B66">
            <w:pPr>
              <w:jc w:val="center"/>
              <w:rPr>
                <w:rFonts w:cs="Arial"/>
                <w:szCs w:val="24"/>
              </w:rPr>
            </w:pPr>
            <w:r w:rsidRPr="00FE0B66">
              <w:rPr>
                <w:rFonts w:cs="Arial"/>
                <w:szCs w:val="24"/>
              </w:rPr>
              <w:t>2</w:t>
            </w:r>
          </w:p>
        </w:tc>
        <w:tc>
          <w:tcPr>
            <w:tcW w:w="1134" w:type="dxa"/>
          </w:tcPr>
          <w:p w:rsidR="00FE0B66" w:rsidRPr="00FE0B66" w:rsidRDefault="00FE0B66" w:rsidP="00FE0B66">
            <w:pPr>
              <w:jc w:val="center"/>
              <w:rPr>
                <w:rFonts w:cs="Arial"/>
                <w:szCs w:val="24"/>
              </w:rPr>
            </w:pPr>
            <w:r w:rsidRPr="00FE0B66">
              <w:rPr>
                <w:rFonts w:cs="Arial"/>
                <w:szCs w:val="24"/>
              </w:rPr>
              <w:t>7</w:t>
            </w:r>
          </w:p>
        </w:tc>
        <w:tc>
          <w:tcPr>
            <w:tcW w:w="1134" w:type="dxa"/>
          </w:tcPr>
          <w:p w:rsidR="00FE0B66" w:rsidRPr="00FE0B66" w:rsidRDefault="00FE0B66" w:rsidP="003C3E49">
            <w:pPr>
              <w:rPr>
                <w:rFonts w:cs="Arial"/>
                <w:b/>
                <w:szCs w:val="24"/>
              </w:rPr>
            </w:pPr>
            <w:r w:rsidRPr="00FE0B66">
              <w:rPr>
                <w:rFonts w:cs="Arial"/>
                <w:b/>
                <w:szCs w:val="24"/>
              </w:rPr>
              <w:t>up</w:t>
            </w:r>
          </w:p>
        </w:tc>
      </w:tr>
      <w:tr w:rsidR="00FE0B66" w:rsidRPr="000949D1" w:rsidTr="00FE0B66">
        <w:tc>
          <w:tcPr>
            <w:tcW w:w="2093" w:type="dxa"/>
            <w:shd w:val="clear" w:color="auto" w:fill="B6DDE8"/>
          </w:tcPr>
          <w:p w:rsidR="00FE0B66" w:rsidRPr="00FE0B66" w:rsidRDefault="00FE0B66" w:rsidP="003C3E49">
            <w:pPr>
              <w:rPr>
                <w:rFonts w:cs="Arial"/>
                <w:b/>
                <w:szCs w:val="24"/>
              </w:rPr>
            </w:pPr>
            <w:r w:rsidRPr="00FE0B66">
              <w:rPr>
                <w:rFonts w:cs="Arial"/>
                <w:b/>
                <w:szCs w:val="24"/>
              </w:rPr>
              <w:t>Totals</w:t>
            </w:r>
          </w:p>
        </w:tc>
        <w:tc>
          <w:tcPr>
            <w:tcW w:w="1276" w:type="dxa"/>
            <w:shd w:val="clear" w:color="auto" w:fill="B6DDE8"/>
          </w:tcPr>
          <w:p w:rsidR="00FE0B66" w:rsidRPr="00FE0B66" w:rsidRDefault="00FE0B66" w:rsidP="00FE0B66">
            <w:pPr>
              <w:jc w:val="center"/>
              <w:rPr>
                <w:rFonts w:cs="Arial"/>
                <w:b/>
                <w:szCs w:val="24"/>
              </w:rPr>
            </w:pPr>
            <w:r w:rsidRPr="00FE0B66">
              <w:rPr>
                <w:rFonts w:cs="Arial"/>
                <w:b/>
                <w:szCs w:val="24"/>
              </w:rPr>
              <w:t>34</w:t>
            </w:r>
          </w:p>
        </w:tc>
        <w:tc>
          <w:tcPr>
            <w:tcW w:w="1275" w:type="dxa"/>
            <w:shd w:val="clear" w:color="auto" w:fill="B6DDE8"/>
          </w:tcPr>
          <w:p w:rsidR="00FE0B66" w:rsidRPr="00FE0B66" w:rsidRDefault="00FE0B66" w:rsidP="00FE0B66">
            <w:pPr>
              <w:jc w:val="center"/>
              <w:rPr>
                <w:rFonts w:cs="Arial"/>
                <w:b/>
                <w:szCs w:val="24"/>
              </w:rPr>
            </w:pPr>
            <w:r w:rsidRPr="00FE0B66">
              <w:rPr>
                <w:rFonts w:cs="Arial"/>
                <w:b/>
                <w:szCs w:val="24"/>
              </w:rPr>
              <w:t>24</w:t>
            </w:r>
          </w:p>
        </w:tc>
        <w:tc>
          <w:tcPr>
            <w:tcW w:w="1134" w:type="dxa"/>
            <w:shd w:val="clear" w:color="auto" w:fill="B6DDE8"/>
          </w:tcPr>
          <w:p w:rsidR="00FE0B66" w:rsidRPr="00FE0B66" w:rsidRDefault="00FE0B66" w:rsidP="00FE0B66">
            <w:pPr>
              <w:jc w:val="center"/>
              <w:rPr>
                <w:rFonts w:cs="Arial"/>
                <w:b/>
                <w:szCs w:val="24"/>
              </w:rPr>
            </w:pPr>
            <w:r w:rsidRPr="00FE0B66">
              <w:rPr>
                <w:rFonts w:cs="Arial"/>
                <w:b/>
                <w:szCs w:val="24"/>
              </w:rPr>
              <w:t>39</w:t>
            </w:r>
          </w:p>
        </w:tc>
        <w:tc>
          <w:tcPr>
            <w:tcW w:w="1134" w:type="dxa"/>
            <w:shd w:val="clear" w:color="auto" w:fill="B6DDE8"/>
          </w:tcPr>
          <w:p w:rsidR="00FE0B66" w:rsidRPr="00FE0B66" w:rsidRDefault="00FE0B66" w:rsidP="003C3E49">
            <w:pPr>
              <w:rPr>
                <w:rFonts w:cs="Arial"/>
                <w:b/>
                <w:szCs w:val="24"/>
              </w:rPr>
            </w:pPr>
            <w:r w:rsidRPr="00FE0B66">
              <w:rPr>
                <w:rFonts w:cs="Arial"/>
                <w:b/>
                <w:szCs w:val="24"/>
              </w:rPr>
              <w:t>up</w:t>
            </w:r>
          </w:p>
        </w:tc>
      </w:tr>
    </w:tbl>
    <w:p w:rsidR="00FE0B66" w:rsidRDefault="00FE0B66" w:rsidP="00FE0B66">
      <w:pPr>
        <w:rPr>
          <w:rFonts w:cs="Arial"/>
          <w:b/>
        </w:rPr>
      </w:pPr>
    </w:p>
    <w:p w:rsidR="00FE0B66" w:rsidRPr="003C3E49" w:rsidRDefault="00FE0B66" w:rsidP="00FE0B66">
      <w:pPr>
        <w:rPr>
          <w:rFonts w:cs="Arial"/>
          <w:b/>
          <w:szCs w:val="24"/>
        </w:rPr>
      </w:pPr>
      <w:r w:rsidRPr="003C3E49">
        <w:rPr>
          <w:rFonts w:cs="Arial"/>
          <w:b/>
          <w:szCs w:val="24"/>
        </w:rPr>
        <w:t>Key Points:</w:t>
      </w:r>
    </w:p>
    <w:p w:rsidR="00FE0B66" w:rsidRPr="003C3E49" w:rsidRDefault="00FE0B66" w:rsidP="000116FB">
      <w:pPr>
        <w:pStyle w:val="Default"/>
        <w:numPr>
          <w:ilvl w:val="0"/>
          <w:numId w:val="4"/>
        </w:numPr>
        <w:jc w:val="both"/>
      </w:pPr>
      <w:r w:rsidRPr="003C3E49">
        <w:t>The number of primary school exclusions in area south /central has, over the past 3 years been consistently higher than others areas/districts of Lancashire.</w:t>
      </w:r>
    </w:p>
    <w:p w:rsidR="00FE0B66" w:rsidRPr="003C3E49" w:rsidRDefault="00FE0B66" w:rsidP="000116FB">
      <w:pPr>
        <w:pStyle w:val="Default"/>
        <w:numPr>
          <w:ilvl w:val="0"/>
          <w:numId w:val="4"/>
        </w:numPr>
        <w:jc w:val="both"/>
      </w:pPr>
      <w:r w:rsidRPr="003C3E49">
        <w:t xml:space="preserve">The Social Deprivation Index identifies the East as the most socially deprived area of Lancashire </w:t>
      </w:r>
    </w:p>
    <w:p w:rsidR="00FE0B66" w:rsidRPr="003C3E49" w:rsidRDefault="00FE0B66" w:rsidP="00FE0B66">
      <w:pPr>
        <w:pStyle w:val="Default"/>
        <w:rPr>
          <w:b/>
        </w:rPr>
      </w:pPr>
    </w:p>
    <w:p w:rsidR="00FE0B66" w:rsidRPr="003C3E49" w:rsidRDefault="0048750F" w:rsidP="00FE0B66">
      <w:pPr>
        <w:pStyle w:val="Default"/>
        <w:rPr>
          <w:b/>
        </w:rPr>
      </w:pPr>
      <w:r>
        <w:rPr>
          <w:b/>
        </w:rPr>
        <w:t>Strategies</w:t>
      </w:r>
      <w:r w:rsidR="00FE0B66" w:rsidRPr="003C3E49">
        <w:rPr>
          <w:b/>
        </w:rPr>
        <w:t>:</w:t>
      </w:r>
    </w:p>
    <w:p w:rsidR="00FE0B66" w:rsidRPr="003C3E49" w:rsidRDefault="00FE0B66" w:rsidP="00FE0B66">
      <w:pPr>
        <w:pStyle w:val="Default"/>
        <w:rPr>
          <w:b/>
        </w:rPr>
      </w:pPr>
    </w:p>
    <w:p w:rsidR="00FE0B66" w:rsidRPr="003C3E49" w:rsidRDefault="00FE0B66" w:rsidP="000116FB">
      <w:pPr>
        <w:pStyle w:val="ListParagraph"/>
        <w:ind w:left="360"/>
        <w:jc w:val="both"/>
        <w:rPr>
          <w:rFonts w:ascii="Arial" w:hAnsi="Arial" w:cs="Arial"/>
          <w:sz w:val="24"/>
          <w:szCs w:val="24"/>
        </w:rPr>
      </w:pPr>
      <w:r w:rsidRPr="003C3E49">
        <w:rPr>
          <w:rFonts w:ascii="Arial" w:hAnsi="Arial" w:cs="Arial"/>
          <w:sz w:val="24"/>
          <w:szCs w:val="24"/>
        </w:rPr>
        <w:t>A research project was commissioned by ACERS in May 2013 around primary exclusions focussing on the South area where the majority of exclusions occur.  The research involved interviews and information collections from 12 high and 12 low excluding Lancashire primary schools on the South area.</w:t>
      </w:r>
    </w:p>
    <w:p w:rsidR="00FE0B66" w:rsidRPr="003C3E49" w:rsidRDefault="00FE0B66" w:rsidP="00FE0B66">
      <w:pPr>
        <w:jc w:val="both"/>
        <w:rPr>
          <w:rFonts w:cs="Arial"/>
          <w:szCs w:val="24"/>
        </w:rPr>
      </w:pPr>
      <w:r w:rsidRPr="003C3E49">
        <w:rPr>
          <w:rFonts w:cs="Arial"/>
          <w:szCs w:val="24"/>
        </w:rPr>
        <w:t xml:space="preserve">           Three distinct themes were evident for the low excluders:-</w:t>
      </w:r>
    </w:p>
    <w:p w:rsidR="00FE0B66" w:rsidRPr="003C3E49" w:rsidRDefault="00FE0B66" w:rsidP="00FE0B66">
      <w:pPr>
        <w:pStyle w:val="ListParagraph"/>
        <w:numPr>
          <w:ilvl w:val="0"/>
          <w:numId w:val="11"/>
        </w:numPr>
        <w:spacing w:after="0" w:line="240" w:lineRule="auto"/>
        <w:jc w:val="both"/>
        <w:rPr>
          <w:rFonts w:ascii="Arial" w:hAnsi="Arial" w:cs="Arial"/>
          <w:sz w:val="24"/>
          <w:szCs w:val="24"/>
        </w:rPr>
      </w:pPr>
      <w:r w:rsidRPr="003C3E49">
        <w:rPr>
          <w:rFonts w:ascii="Arial" w:hAnsi="Arial" w:cs="Arial"/>
          <w:sz w:val="24"/>
          <w:szCs w:val="24"/>
        </w:rPr>
        <w:t>Culture (an inclusive culture set and promoted primarily by the head teacher)</w:t>
      </w:r>
    </w:p>
    <w:p w:rsidR="00FE0B66" w:rsidRPr="003C3E49" w:rsidRDefault="00FE0B66" w:rsidP="00FE0B66">
      <w:pPr>
        <w:pStyle w:val="ListParagraph"/>
        <w:numPr>
          <w:ilvl w:val="0"/>
          <w:numId w:val="11"/>
        </w:numPr>
        <w:spacing w:after="0" w:line="240" w:lineRule="auto"/>
        <w:jc w:val="both"/>
        <w:rPr>
          <w:rFonts w:ascii="Arial" w:hAnsi="Arial" w:cs="Arial"/>
          <w:sz w:val="24"/>
          <w:szCs w:val="24"/>
        </w:rPr>
      </w:pPr>
      <w:r w:rsidRPr="003C3E49">
        <w:rPr>
          <w:rFonts w:ascii="Arial" w:hAnsi="Arial" w:cs="Arial"/>
          <w:sz w:val="24"/>
          <w:szCs w:val="24"/>
        </w:rPr>
        <w:t>Communication (excellent with all local services)</w:t>
      </w:r>
    </w:p>
    <w:p w:rsidR="00FE0B66" w:rsidRPr="003C3E49" w:rsidRDefault="00FE0B66" w:rsidP="00FE0B66">
      <w:pPr>
        <w:pStyle w:val="ListParagraph"/>
        <w:numPr>
          <w:ilvl w:val="0"/>
          <w:numId w:val="11"/>
        </w:numPr>
        <w:spacing w:after="0" w:line="240" w:lineRule="auto"/>
        <w:jc w:val="both"/>
        <w:rPr>
          <w:rFonts w:ascii="Arial" w:hAnsi="Arial" w:cs="Arial"/>
          <w:sz w:val="24"/>
          <w:szCs w:val="24"/>
        </w:rPr>
      </w:pPr>
      <w:r w:rsidRPr="003C3E49">
        <w:rPr>
          <w:rFonts w:ascii="Arial" w:hAnsi="Arial" w:cs="Arial"/>
          <w:sz w:val="24"/>
          <w:szCs w:val="24"/>
        </w:rPr>
        <w:t>Multi Agency (pro active and collaborative working with all LCC services)</w:t>
      </w:r>
    </w:p>
    <w:p w:rsidR="00FE0B66" w:rsidRPr="003C3E49" w:rsidRDefault="00FE0B66" w:rsidP="00FE0B66">
      <w:pPr>
        <w:ind w:left="720"/>
        <w:jc w:val="both"/>
        <w:rPr>
          <w:rFonts w:cs="Arial"/>
          <w:szCs w:val="24"/>
        </w:rPr>
      </w:pPr>
    </w:p>
    <w:p w:rsidR="00FE0B66" w:rsidRDefault="00FE0B66" w:rsidP="00FE0B66">
      <w:pPr>
        <w:jc w:val="both"/>
        <w:rPr>
          <w:rFonts w:cs="Arial"/>
          <w:szCs w:val="24"/>
        </w:rPr>
      </w:pPr>
      <w:r w:rsidRPr="003C3E49">
        <w:rPr>
          <w:rFonts w:cs="Arial"/>
          <w:szCs w:val="24"/>
        </w:rPr>
        <w:t>High excluding schools tended to give lists of what they considered the problems to be – largely focussing on external agencies and support.  This pointed towards a blame culture and a lack of recognition of their responsibilities. They failed to recognise the opportunity for the school to be the positive focus and the hub of support and a solution.</w:t>
      </w:r>
    </w:p>
    <w:p w:rsidR="00D35E0E" w:rsidRPr="003C3E49" w:rsidRDefault="00D35E0E" w:rsidP="00FE0B66">
      <w:pPr>
        <w:jc w:val="both"/>
        <w:rPr>
          <w:rFonts w:cs="Arial"/>
          <w:szCs w:val="24"/>
        </w:rPr>
      </w:pPr>
    </w:p>
    <w:p w:rsidR="00FE0B66" w:rsidRDefault="00FE0B66" w:rsidP="000116FB">
      <w:pPr>
        <w:jc w:val="both"/>
        <w:rPr>
          <w:rFonts w:cs="Arial"/>
          <w:szCs w:val="24"/>
        </w:rPr>
      </w:pPr>
      <w:r w:rsidRPr="003C3E49">
        <w:rPr>
          <w:rFonts w:cs="Arial"/>
          <w:szCs w:val="24"/>
        </w:rPr>
        <w:t>Research identified possible solutions and alternatives to permanent exclusions; these suggestions came from both the high excluding schools and the lower excluding schools</w:t>
      </w:r>
      <w:r w:rsidR="00DA1434">
        <w:rPr>
          <w:rFonts w:cs="Arial"/>
          <w:szCs w:val="24"/>
        </w:rPr>
        <w:t xml:space="preserve">.  </w:t>
      </w:r>
      <w:r w:rsidRPr="003C3E49">
        <w:rPr>
          <w:rFonts w:cs="Arial"/>
          <w:szCs w:val="24"/>
        </w:rPr>
        <w:t xml:space="preserve"> An ACERS officer disseminated the above information and data to all South Area Head teachers.</w:t>
      </w:r>
    </w:p>
    <w:p w:rsidR="00D35E0E" w:rsidRPr="003C3E49" w:rsidRDefault="00D35E0E" w:rsidP="00FE0B66">
      <w:pPr>
        <w:rPr>
          <w:rFonts w:cs="Arial"/>
          <w:szCs w:val="24"/>
        </w:rPr>
      </w:pPr>
    </w:p>
    <w:p w:rsidR="00FE0B66" w:rsidRDefault="00FE0B66" w:rsidP="000116FB">
      <w:pPr>
        <w:jc w:val="both"/>
        <w:rPr>
          <w:rFonts w:cs="Arial"/>
          <w:szCs w:val="24"/>
        </w:rPr>
      </w:pPr>
      <w:r w:rsidRPr="003C3E49">
        <w:rPr>
          <w:rFonts w:cs="Arial"/>
          <w:szCs w:val="24"/>
        </w:rPr>
        <w:t>ACERS consider that school governors needed to be aware of and to regularly review their discipline and behaviour policies. Overall however the issue was one of mind set rather than written policy.</w:t>
      </w:r>
    </w:p>
    <w:p w:rsidR="00FE0B66" w:rsidRDefault="00FE0B66" w:rsidP="000116FB">
      <w:pPr>
        <w:jc w:val="both"/>
        <w:rPr>
          <w:rFonts w:cs="Arial"/>
          <w:szCs w:val="24"/>
        </w:rPr>
      </w:pPr>
      <w:r w:rsidRPr="003C3E49">
        <w:rPr>
          <w:rFonts w:cs="Arial"/>
          <w:szCs w:val="24"/>
        </w:rPr>
        <w:lastRenderedPageBreak/>
        <w:t>The following strategies are being considered by the Behaviour Strategy Group as part of Lancashire's Behaviour Policy:-</w:t>
      </w:r>
    </w:p>
    <w:p w:rsidR="000116FB" w:rsidRPr="003C3E49" w:rsidRDefault="000116FB" w:rsidP="000116FB">
      <w:pPr>
        <w:jc w:val="both"/>
        <w:rPr>
          <w:rFonts w:cs="Arial"/>
          <w:szCs w:val="24"/>
        </w:rPr>
      </w:pPr>
    </w:p>
    <w:p w:rsidR="00FE0B66" w:rsidRPr="003C3E49" w:rsidRDefault="00FE0B66" w:rsidP="000116FB">
      <w:pPr>
        <w:pStyle w:val="ListParagraph"/>
        <w:numPr>
          <w:ilvl w:val="0"/>
          <w:numId w:val="6"/>
        </w:numPr>
        <w:jc w:val="both"/>
        <w:rPr>
          <w:rFonts w:ascii="Arial" w:hAnsi="Arial" w:cs="Arial"/>
          <w:sz w:val="24"/>
          <w:szCs w:val="24"/>
        </w:rPr>
      </w:pPr>
      <w:r w:rsidRPr="003C3E49">
        <w:rPr>
          <w:rFonts w:ascii="Arial" w:hAnsi="Arial" w:cs="Arial"/>
          <w:sz w:val="24"/>
          <w:szCs w:val="24"/>
        </w:rPr>
        <w:t xml:space="preserve">Provide emergency contact numbers for support and assistance schools experiencing difficulty with challenging pupils via Educational Psychologists , PRUs and Advisers </w:t>
      </w:r>
    </w:p>
    <w:p w:rsidR="00FE0B66" w:rsidRPr="003C3E49" w:rsidRDefault="00FE0B66" w:rsidP="000116FB">
      <w:pPr>
        <w:pStyle w:val="ListParagraph"/>
        <w:numPr>
          <w:ilvl w:val="0"/>
          <w:numId w:val="6"/>
        </w:numPr>
        <w:jc w:val="both"/>
        <w:rPr>
          <w:rFonts w:ascii="Arial" w:hAnsi="Arial" w:cs="Arial"/>
          <w:sz w:val="24"/>
          <w:szCs w:val="24"/>
        </w:rPr>
      </w:pPr>
      <w:r w:rsidRPr="003C3E49">
        <w:rPr>
          <w:rFonts w:ascii="Arial" w:hAnsi="Arial" w:cs="Arial"/>
          <w:sz w:val="24"/>
          <w:szCs w:val="24"/>
        </w:rPr>
        <w:t>Working together with other services to support the pupil and his/her family.</w:t>
      </w:r>
    </w:p>
    <w:p w:rsidR="00FE0B66" w:rsidRPr="003C3E49" w:rsidRDefault="00FE0B66" w:rsidP="000116FB">
      <w:pPr>
        <w:pStyle w:val="ListParagraph"/>
        <w:numPr>
          <w:ilvl w:val="0"/>
          <w:numId w:val="6"/>
        </w:numPr>
        <w:jc w:val="both"/>
        <w:rPr>
          <w:rFonts w:ascii="Arial" w:hAnsi="Arial" w:cs="Arial"/>
          <w:sz w:val="24"/>
          <w:szCs w:val="24"/>
        </w:rPr>
      </w:pPr>
      <w:r w:rsidRPr="003C3E49">
        <w:rPr>
          <w:rFonts w:ascii="Arial" w:hAnsi="Arial" w:cs="Arial"/>
          <w:sz w:val="24"/>
          <w:szCs w:val="24"/>
        </w:rPr>
        <w:t xml:space="preserve">Working more closely with Children's Centres </w:t>
      </w:r>
    </w:p>
    <w:p w:rsidR="00FE0B66" w:rsidRPr="003C3E49" w:rsidRDefault="00FE0B66" w:rsidP="000116FB">
      <w:pPr>
        <w:pStyle w:val="ListParagraph"/>
        <w:numPr>
          <w:ilvl w:val="0"/>
          <w:numId w:val="6"/>
        </w:numPr>
        <w:jc w:val="both"/>
        <w:rPr>
          <w:rFonts w:ascii="Arial" w:hAnsi="Arial" w:cs="Arial"/>
          <w:sz w:val="24"/>
          <w:szCs w:val="24"/>
        </w:rPr>
      </w:pPr>
      <w:r w:rsidRPr="003C3E49">
        <w:rPr>
          <w:rFonts w:ascii="Arial" w:hAnsi="Arial" w:cs="Arial"/>
          <w:sz w:val="24"/>
          <w:szCs w:val="24"/>
        </w:rPr>
        <w:t xml:space="preserve">Working on  better pupil transitions from nursery to school </w:t>
      </w:r>
    </w:p>
    <w:p w:rsidR="00FE0B66" w:rsidRPr="003C3E49" w:rsidRDefault="00FE0B66" w:rsidP="000116FB">
      <w:pPr>
        <w:pStyle w:val="ListParagraph"/>
        <w:numPr>
          <w:ilvl w:val="0"/>
          <w:numId w:val="6"/>
        </w:numPr>
        <w:jc w:val="both"/>
        <w:rPr>
          <w:rFonts w:ascii="Arial" w:hAnsi="Arial" w:cs="Arial"/>
          <w:sz w:val="24"/>
          <w:szCs w:val="24"/>
        </w:rPr>
      </w:pPr>
      <w:r w:rsidRPr="003C3E49">
        <w:rPr>
          <w:rFonts w:ascii="Arial" w:hAnsi="Arial" w:cs="Arial"/>
          <w:sz w:val="24"/>
          <w:szCs w:val="24"/>
        </w:rPr>
        <w:t xml:space="preserve">Setting up Fair Access Panels for the primary schools in each area </w:t>
      </w:r>
    </w:p>
    <w:p w:rsidR="00FE0B66" w:rsidRPr="003C3E49" w:rsidRDefault="00FE0B66" w:rsidP="000116FB">
      <w:pPr>
        <w:jc w:val="both"/>
        <w:rPr>
          <w:rFonts w:cs="Arial"/>
          <w:szCs w:val="24"/>
        </w:rPr>
      </w:pPr>
      <w:r w:rsidRPr="003C3E49">
        <w:rPr>
          <w:rFonts w:cs="Arial"/>
          <w:szCs w:val="24"/>
        </w:rPr>
        <w:t>The Ribbleton area FAP</w:t>
      </w:r>
      <w:r w:rsidR="00DA1434">
        <w:rPr>
          <w:rFonts w:cs="Arial"/>
          <w:szCs w:val="24"/>
        </w:rPr>
        <w:t xml:space="preserve"> </w:t>
      </w:r>
      <w:r w:rsidR="003C31B3">
        <w:rPr>
          <w:rFonts w:cs="Arial"/>
          <w:szCs w:val="24"/>
        </w:rPr>
        <w:t>(</w:t>
      </w:r>
      <w:r w:rsidRPr="003C3E49">
        <w:rPr>
          <w:rFonts w:cs="Arial"/>
          <w:szCs w:val="24"/>
        </w:rPr>
        <w:t>Fair Access Panel) reduced the permanents to nil for the Summer Term.2013. The possibility of applying this approach for other primary school clusters is now being considered e.g. Chorley and part of South Ribble. It was confirmed that head teachers who had participated in successful FAP panel arrangements were used as part of the introduction of these to new areas / clusters. There is much good practice evident in East and North Lancashire primary schools. Using this and drawing on head teacher experience to advise and support other schools is a clear resource, which is being investigated.</w:t>
      </w:r>
    </w:p>
    <w:p w:rsidR="00FE0B66" w:rsidRPr="003C3E49" w:rsidRDefault="00FE0B66" w:rsidP="00FE0B66">
      <w:pPr>
        <w:jc w:val="both"/>
        <w:rPr>
          <w:rFonts w:cs="Arial"/>
          <w:szCs w:val="24"/>
        </w:rPr>
      </w:pPr>
    </w:p>
    <w:p w:rsidR="00FE0B66" w:rsidRPr="003C3E49" w:rsidRDefault="00FE0B66" w:rsidP="000116FB">
      <w:pPr>
        <w:pStyle w:val="ListParagraph"/>
        <w:numPr>
          <w:ilvl w:val="0"/>
          <w:numId w:val="8"/>
        </w:numPr>
        <w:jc w:val="both"/>
        <w:rPr>
          <w:rFonts w:ascii="Arial" w:hAnsi="Arial" w:cs="Arial"/>
          <w:sz w:val="24"/>
          <w:szCs w:val="24"/>
        </w:rPr>
      </w:pPr>
      <w:r w:rsidRPr="003C3E49">
        <w:rPr>
          <w:rFonts w:ascii="Arial" w:hAnsi="Arial" w:cs="Arial"/>
          <w:sz w:val="24"/>
          <w:szCs w:val="24"/>
        </w:rPr>
        <w:t xml:space="preserve">Pupil Access Teams are working with PRUs to encourage all South area head teachers to contact Golden Hill PRU before permanently excluding a primary aged child </w:t>
      </w:r>
    </w:p>
    <w:p w:rsidR="00FE0B66" w:rsidRPr="003C3E49" w:rsidRDefault="00FE0B66" w:rsidP="000116FB">
      <w:pPr>
        <w:pStyle w:val="ListParagraph"/>
        <w:numPr>
          <w:ilvl w:val="0"/>
          <w:numId w:val="7"/>
        </w:numPr>
        <w:jc w:val="both"/>
        <w:rPr>
          <w:rFonts w:ascii="Arial" w:hAnsi="Arial" w:cs="Arial"/>
          <w:sz w:val="24"/>
          <w:szCs w:val="24"/>
        </w:rPr>
      </w:pPr>
      <w:r w:rsidRPr="003C3E49">
        <w:rPr>
          <w:rFonts w:ascii="Arial" w:hAnsi="Arial" w:cs="Arial"/>
          <w:sz w:val="24"/>
          <w:szCs w:val="24"/>
        </w:rPr>
        <w:t xml:space="preserve">The Behaviour Strategy Group is also working with schools in South Area to prevent  exclusions </w:t>
      </w:r>
    </w:p>
    <w:p w:rsidR="00FE0B66" w:rsidRPr="003C3E49" w:rsidRDefault="00FE0B66" w:rsidP="000116FB">
      <w:pPr>
        <w:pStyle w:val="ListParagraph"/>
        <w:numPr>
          <w:ilvl w:val="0"/>
          <w:numId w:val="5"/>
        </w:numPr>
        <w:jc w:val="both"/>
        <w:rPr>
          <w:rFonts w:ascii="Arial" w:hAnsi="Arial" w:cs="Arial"/>
          <w:sz w:val="24"/>
          <w:szCs w:val="24"/>
        </w:rPr>
      </w:pPr>
      <w:r w:rsidRPr="003C3E49">
        <w:rPr>
          <w:rFonts w:ascii="Arial" w:hAnsi="Arial" w:cs="Arial"/>
          <w:sz w:val="24"/>
          <w:szCs w:val="24"/>
        </w:rPr>
        <w:t xml:space="preserve">IDSS have agreed to prioritise any pupil 'at risk of exclusion' in South Area </w:t>
      </w:r>
    </w:p>
    <w:p w:rsidR="00FE0B66" w:rsidRPr="003C3E49" w:rsidRDefault="00FE0B66" w:rsidP="000116FB">
      <w:pPr>
        <w:pStyle w:val="ListParagraph"/>
        <w:numPr>
          <w:ilvl w:val="0"/>
          <w:numId w:val="5"/>
        </w:numPr>
        <w:jc w:val="both"/>
        <w:rPr>
          <w:rFonts w:ascii="Arial" w:hAnsi="Arial" w:cs="Arial"/>
          <w:sz w:val="24"/>
          <w:szCs w:val="24"/>
        </w:rPr>
      </w:pPr>
      <w:r w:rsidRPr="003C3E49">
        <w:rPr>
          <w:rFonts w:ascii="Arial" w:hAnsi="Arial" w:cs="Arial"/>
          <w:sz w:val="24"/>
          <w:szCs w:val="24"/>
        </w:rPr>
        <w:t>Golden Hill PRU have developed excellent links with schools in south area , and offer support and intervention for pupils at risk of exclusion</w:t>
      </w:r>
    </w:p>
    <w:p w:rsidR="00FE0B66" w:rsidRPr="003C3E49" w:rsidRDefault="00FE0B66" w:rsidP="00FE0B66">
      <w:pPr>
        <w:pStyle w:val="ListParagraph"/>
        <w:numPr>
          <w:ilvl w:val="0"/>
          <w:numId w:val="5"/>
        </w:numPr>
        <w:rPr>
          <w:rFonts w:ascii="Arial" w:hAnsi="Arial" w:cs="Arial"/>
          <w:sz w:val="24"/>
          <w:szCs w:val="24"/>
        </w:rPr>
      </w:pPr>
      <w:r w:rsidRPr="003C3E49">
        <w:rPr>
          <w:rFonts w:ascii="Arial" w:hAnsi="Arial" w:cs="Arial"/>
          <w:sz w:val="24"/>
          <w:szCs w:val="24"/>
        </w:rPr>
        <w:t>Continuous Improvement Team is working with schools to reduce exclusions via school advise</w:t>
      </w:r>
    </w:p>
    <w:p w:rsidR="00A33ABB" w:rsidRPr="00A33ABB" w:rsidRDefault="00A33ABB" w:rsidP="00A33ABB">
      <w:pPr>
        <w:pStyle w:val="PlainText"/>
        <w:numPr>
          <w:ilvl w:val="0"/>
          <w:numId w:val="3"/>
        </w:numPr>
        <w:rPr>
          <w:rFonts w:ascii="Arial" w:hAnsi="Arial" w:cs="Arial"/>
          <w:b/>
          <w:sz w:val="24"/>
          <w:szCs w:val="24"/>
        </w:rPr>
      </w:pPr>
      <w:r w:rsidRPr="00A33ABB">
        <w:rPr>
          <w:rFonts w:ascii="Arial" w:hAnsi="Arial" w:cs="Arial"/>
          <w:b/>
          <w:sz w:val="24"/>
          <w:szCs w:val="24"/>
        </w:rPr>
        <w:t>Local Authority support for the education of Gypsy, Roma and Traveller Children</w:t>
      </w:r>
    </w:p>
    <w:p w:rsidR="00A33ABB" w:rsidRPr="00A33ABB" w:rsidRDefault="00A33ABB" w:rsidP="00A33ABB">
      <w:pPr>
        <w:pStyle w:val="PlainText"/>
        <w:rPr>
          <w:rFonts w:ascii="Arial" w:hAnsi="Arial" w:cs="Arial"/>
          <w:sz w:val="24"/>
          <w:szCs w:val="24"/>
        </w:rPr>
      </w:pPr>
    </w:p>
    <w:p w:rsidR="00A33ABB" w:rsidRPr="00A33ABB" w:rsidRDefault="00A33ABB" w:rsidP="000116FB">
      <w:pPr>
        <w:pStyle w:val="PlainText"/>
        <w:jc w:val="both"/>
        <w:rPr>
          <w:rFonts w:ascii="Arial" w:hAnsi="Arial" w:cs="Arial"/>
          <w:sz w:val="24"/>
          <w:szCs w:val="24"/>
        </w:rPr>
      </w:pPr>
      <w:r w:rsidRPr="00A33ABB">
        <w:rPr>
          <w:rFonts w:ascii="Arial" w:hAnsi="Arial" w:cs="Arial"/>
          <w:sz w:val="24"/>
          <w:szCs w:val="24"/>
        </w:rPr>
        <w:t xml:space="preserve">Since the late 1970s, local authorities have had access to additional funding from central government to provide a Gypsy, Roma and Traveller (GRT) Achievement Service - a small team of teachers, teaching assistants and education welfare officers to provide additional support to schools and families to improve enrolment, attendance and achievement of children of Gypsy, Roma and other Traveller families. </w:t>
      </w:r>
    </w:p>
    <w:p w:rsidR="00A33ABB" w:rsidRPr="00A33ABB" w:rsidRDefault="00A33ABB" w:rsidP="000116FB">
      <w:pPr>
        <w:pStyle w:val="PlainText"/>
        <w:jc w:val="both"/>
        <w:rPr>
          <w:rFonts w:ascii="Arial" w:hAnsi="Arial" w:cs="Arial"/>
          <w:sz w:val="24"/>
          <w:szCs w:val="24"/>
        </w:rPr>
      </w:pPr>
    </w:p>
    <w:p w:rsidR="00A33ABB" w:rsidRPr="003C31B3" w:rsidRDefault="00A33ABB" w:rsidP="000116FB">
      <w:pPr>
        <w:pStyle w:val="PlainText"/>
        <w:jc w:val="both"/>
        <w:rPr>
          <w:rFonts w:ascii="Arial" w:hAnsi="Arial" w:cs="Arial"/>
          <w:sz w:val="24"/>
          <w:szCs w:val="24"/>
        </w:rPr>
      </w:pPr>
      <w:r w:rsidRPr="00A33ABB">
        <w:rPr>
          <w:rFonts w:ascii="Arial" w:hAnsi="Arial" w:cs="Arial"/>
          <w:sz w:val="24"/>
          <w:szCs w:val="24"/>
        </w:rPr>
        <w:t>Over recent years, funding from central government to local authorities to pay for Traveller Education services has been reduced and the emphasis has moved to focussing on supporting schools to raise attainment in the classroom.  This change has been driven by a National Strategies programme that drew on the experiences of schools across the UK who had shown particular success engaging Traveller children and parents.</w:t>
      </w:r>
    </w:p>
    <w:p w:rsidR="00A33ABB" w:rsidRPr="00A33ABB" w:rsidRDefault="00A33ABB" w:rsidP="000116FB">
      <w:pPr>
        <w:pStyle w:val="PlainText"/>
        <w:jc w:val="both"/>
        <w:rPr>
          <w:rFonts w:ascii="Arial" w:hAnsi="Arial" w:cs="Arial"/>
          <w:sz w:val="24"/>
          <w:szCs w:val="24"/>
        </w:rPr>
      </w:pPr>
      <w:r w:rsidRPr="00A33ABB">
        <w:rPr>
          <w:rFonts w:ascii="Arial" w:hAnsi="Arial" w:cs="Arial"/>
          <w:sz w:val="24"/>
          <w:szCs w:val="24"/>
        </w:rPr>
        <w:lastRenderedPageBreak/>
        <w:t xml:space="preserve">Attainment and attendance at school have risen (see data at end of report) - with Lancashire's results for GRT pupils slightly above the national average. However, around 120 school-age GRT children in the county are currently registered as being educated at home. These are families well-known to staff of the GRT Achievement Team over many years. </w:t>
      </w:r>
    </w:p>
    <w:p w:rsidR="00981ECB" w:rsidRPr="00DA1434" w:rsidRDefault="00981ECB" w:rsidP="00A33ABB">
      <w:pPr>
        <w:pStyle w:val="PlainText"/>
        <w:rPr>
          <w:rFonts w:ascii="Arial" w:hAnsi="Arial" w:cs="Arial"/>
          <w:b/>
          <w:sz w:val="24"/>
          <w:szCs w:val="24"/>
          <w:u w:val="single"/>
        </w:rPr>
      </w:pPr>
    </w:p>
    <w:p w:rsidR="00A33ABB" w:rsidRPr="00A33ABB" w:rsidRDefault="00304DBA" w:rsidP="00A33ABB">
      <w:pPr>
        <w:pStyle w:val="PlainText"/>
        <w:rPr>
          <w:rFonts w:ascii="Arial" w:hAnsi="Arial" w:cs="Arial"/>
          <w:b/>
          <w:sz w:val="24"/>
          <w:szCs w:val="24"/>
          <w:u w:val="single"/>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391.5pt;margin-top:13.5pt;width:126.4pt;height:343.5pt;z-index:251657216;mso-width-relative:margin;mso-height-relative:margin">
            <v:textbox>
              <w:txbxContent>
                <w:p w:rsidR="00E54CFB" w:rsidRDefault="00E54CFB" w:rsidP="00A33ABB">
                  <w:r>
                    <w:t>Over the ten year period between 2003 and 2013, the numbers of GRT children attending school has risen in all year groups.  There have been significant rises in uptake of pre-school provision (Year Group '-1' on the graph) and in transfer to secondary school.  In 2003, those pupils who did not transfer were not registering for home education and avoided contact with LCC officers.</w:t>
                  </w:r>
                </w:p>
              </w:txbxContent>
            </v:textbox>
          </v:shape>
        </w:pict>
      </w:r>
      <w:r w:rsidR="00A33ABB" w:rsidRPr="00A33ABB">
        <w:rPr>
          <w:rFonts w:ascii="Arial" w:hAnsi="Arial" w:cs="Arial"/>
          <w:b/>
          <w:sz w:val="24"/>
          <w:szCs w:val="24"/>
          <w:u w:val="single"/>
        </w:rPr>
        <w:t>Change in uptake of school by GRT children between 2003 and 2013</w:t>
      </w:r>
    </w:p>
    <w:p w:rsidR="00A33ABB" w:rsidRPr="00A33ABB" w:rsidRDefault="00A33ABB" w:rsidP="00A33ABB">
      <w:pPr>
        <w:pStyle w:val="PlainText"/>
        <w:rPr>
          <w:rFonts w:ascii="Arial" w:hAnsi="Arial" w:cs="Arial"/>
          <w:sz w:val="24"/>
          <w:szCs w:val="24"/>
        </w:rPr>
      </w:pPr>
    </w:p>
    <w:p w:rsidR="00A33ABB" w:rsidRPr="00A33ABB" w:rsidRDefault="00A33ABB" w:rsidP="00A33ABB">
      <w:pPr>
        <w:rPr>
          <w:rFonts w:cs="Arial"/>
          <w:szCs w:val="24"/>
        </w:rPr>
      </w:pPr>
      <w:r w:rsidRPr="00A33ABB" w:rsidDel="00885E59">
        <w:rPr>
          <w:rFonts w:cs="Arial"/>
          <w:noProof/>
          <w:szCs w:val="24"/>
        </w:rPr>
        <w:t xml:space="preserve"> </w:t>
      </w:r>
      <w:r w:rsidRPr="00A33ABB" w:rsidDel="00885E59">
        <w:rPr>
          <w:rFonts w:cs="Arial"/>
          <w:szCs w:val="24"/>
        </w:rPr>
        <w:t xml:space="preserve"> </w:t>
      </w:r>
      <w:r w:rsidRPr="00A33ABB">
        <w:rPr>
          <w:rFonts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80.25pt;height:30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">
            <v:imagedata r:id="rId8" o:title=""/>
            <o:lock v:ext="edit" aspectratio="f"/>
          </v:shape>
        </w:pict>
      </w:r>
      <w:r w:rsidRPr="00A33ABB" w:rsidDel="00885E59">
        <w:rPr>
          <w:rFonts w:cs="Arial"/>
          <w:szCs w:val="24"/>
        </w:rPr>
        <w:t xml:space="preserve"> </w:t>
      </w:r>
    </w:p>
    <w:p w:rsidR="00A33ABB" w:rsidRPr="00A33ABB" w:rsidRDefault="00A33ABB" w:rsidP="00A33ABB">
      <w:pPr>
        <w:pStyle w:val="PlainText"/>
        <w:rPr>
          <w:rFonts w:ascii="Arial" w:hAnsi="Arial" w:cs="Arial"/>
          <w:sz w:val="24"/>
          <w:szCs w:val="24"/>
        </w:rPr>
      </w:pPr>
    </w:p>
    <w:p w:rsidR="00A33ABB" w:rsidRDefault="00A33ABB" w:rsidP="00A33ABB">
      <w:pPr>
        <w:pStyle w:val="PlainText"/>
        <w:rPr>
          <w:rFonts w:ascii="Arial" w:hAnsi="Arial" w:cs="Arial"/>
          <w:sz w:val="24"/>
          <w:szCs w:val="24"/>
        </w:rPr>
      </w:pPr>
    </w:p>
    <w:p w:rsidR="00DA1434" w:rsidRPr="00DA1434" w:rsidRDefault="00DA1434" w:rsidP="00A33ABB">
      <w:pPr>
        <w:pStyle w:val="PlainText"/>
        <w:rPr>
          <w:rFonts w:ascii="Arial" w:hAnsi="Arial" w:cs="Arial"/>
          <w:sz w:val="24"/>
          <w:szCs w:val="24"/>
        </w:rPr>
      </w:pPr>
    </w:p>
    <w:p w:rsidR="00A33ABB" w:rsidRDefault="00A33ABB" w:rsidP="00A33ABB">
      <w:pPr>
        <w:jc w:val="center"/>
        <w:rPr>
          <w:rFonts w:cs="Arial"/>
          <w:b/>
          <w:szCs w:val="24"/>
        </w:rPr>
      </w:pPr>
      <w:r w:rsidRPr="00DA1434">
        <w:rPr>
          <w:rFonts w:cs="Arial"/>
          <w:b/>
          <w:szCs w:val="24"/>
        </w:rPr>
        <w:t>Change in % of GRT children out of school between 2003 and 2013</w:t>
      </w:r>
    </w:p>
    <w:p w:rsidR="00DA1434" w:rsidRPr="00DA1434" w:rsidRDefault="00DA1434" w:rsidP="00A33ABB">
      <w:pPr>
        <w:jc w:val="center"/>
        <w:rPr>
          <w:rFonts w:cs="Arial"/>
          <w:b/>
          <w:szCs w:val="24"/>
        </w:rPr>
      </w:pPr>
    </w:p>
    <w:tbl>
      <w:tblPr>
        <w:tblW w:w="6810" w:type="dxa"/>
        <w:jc w:val="center"/>
        <w:tblCellMar>
          <w:left w:w="0" w:type="dxa"/>
          <w:right w:w="0" w:type="dxa"/>
        </w:tblCellMar>
        <w:tblLook w:val="04A0" w:firstRow="1" w:lastRow="0" w:firstColumn="1" w:lastColumn="0" w:noHBand="0" w:noVBand="1"/>
      </w:tblPr>
      <w:tblGrid>
        <w:gridCol w:w="981"/>
        <w:gridCol w:w="1276"/>
        <w:gridCol w:w="1559"/>
        <w:gridCol w:w="1276"/>
        <w:gridCol w:w="1718"/>
      </w:tblGrid>
      <w:tr w:rsidR="00A33ABB" w:rsidRPr="00A33ABB" w:rsidTr="00A33ABB">
        <w:trPr>
          <w:trHeight w:val="577"/>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bottom"/>
            <w:hideMark/>
          </w:tcPr>
          <w:p w:rsidR="00A33ABB" w:rsidRPr="00A33ABB" w:rsidRDefault="00A33ABB" w:rsidP="00A33ABB">
            <w:pPr>
              <w:rPr>
                <w:rFonts w:cs="Arial"/>
                <w:b/>
                <w:bCs/>
                <w:szCs w:val="24"/>
              </w:rPr>
            </w:pPr>
          </w:p>
        </w:tc>
        <w:tc>
          <w:tcPr>
            <w:tcW w:w="2835" w:type="dxa"/>
            <w:gridSpan w:val="2"/>
            <w:tcBorders>
              <w:top w:val="single" w:sz="8" w:space="0" w:color="000000"/>
              <w:left w:val="single" w:sz="8" w:space="0" w:color="000000"/>
              <w:bottom w:val="single" w:sz="8" w:space="0" w:color="000000"/>
              <w:right w:val="single" w:sz="18" w:space="0" w:color="000000"/>
            </w:tcBorders>
            <w:tcMar>
              <w:top w:w="65" w:type="dxa"/>
              <w:left w:w="130" w:type="dxa"/>
              <w:bottom w:w="65" w:type="dxa"/>
              <w:right w:w="130" w:type="dxa"/>
            </w:tcMar>
            <w:vAlign w:val="bottom"/>
            <w:hideMark/>
          </w:tcPr>
          <w:p w:rsidR="00A33ABB" w:rsidRPr="00A33ABB" w:rsidRDefault="00A33ABB" w:rsidP="00A33ABB">
            <w:pPr>
              <w:jc w:val="center"/>
              <w:rPr>
                <w:rFonts w:cs="Arial"/>
                <w:b/>
                <w:bCs/>
                <w:szCs w:val="24"/>
              </w:rPr>
            </w:pPr>
            <w:r w:rsidRPr="00A33ABB">
              <w:rPr>
                <w:rFonts w:cs="Arial"/>
                <w:b/>
                <w:bCs/>
                <w:szCs w:val="24"/>
              </w:rPr>
              <w:t>2003</w:t>
            </w:r>
          </w:p>
        </w:tc>
        <w:tc>
          <w:tcPr>
            <w:tcW w:w="2994" w:type="dxa"/>
            <w:gridSpan w:val="2"/>
            <w:tcBorders>
              <w:top w:val="single" w:sz="8" w:space="0" w:color="000000"/>
              <w:left w:val="single" w:sz="18" w:space="0" w:color="000000"/>
              <w:bottom w:val="single" w:sz="8" w:space="0" w:color="000000"/>
              <w:right w:val="single" w:sz="8" w:space="0" w:color="000000"/>
            </w:tcBorders>
            <w:shd w:val="clear" w:color="auto" w:fill="CCFFCC"/>
            <w:tcMar>
              <w:top w:w="65" w:type="dxa"/>
              <w:left w:w="130" w:type="dxa"/>
              <w:bottom w:w="65" w:type="dxa"/>
              <w:right w:w="130" w:type="dxa"/>
            </w:tcMar>
            <w:vAlign w:val="bottom"/>
            <w:hideMark/>
          </w:tcPr>
          <w:p w:rsidR="00A33ABB" w:rsidRPr="00A33ABB" w:rsidRDefault="00A33ABB" w:rsidP="00A33ABB">
            <w:pPr>
              <w:jc w:val="center"/>
              <w:rPr>
                <w:rFonts w:cs="Arial"/>
                <w:b/>
                <w:bCs/>
                <w:szCs w:val="24"/>
              </w:rPr>
            </w:pPr>
            <w:r w:rsidRPr="00A33ABB">
              <w:rPr>
                <w:rFonts w:cs="Arial"/>
                <w:b/>
                <w:bCs/>
                <w:szCs w:val="24"/>
              </w:rPr>
              <w:t>2013</w:t>
            </w:r>
          </w:p>
        </w:tc>
      </w:tr>
      <w:tr w:rsidR="00A33ABB" w:rsidRPr="00A33ABB" w:rsidTr="00A33ABB">
        <w:trPr>
          <w:trHeight w:val="1259"/>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bottom"/>
            <w:hideMark/>
          </w:tcPr>
          <w:p w:rsidR="00A33ABB" w:rsidRPr="00A33ABB" w:rsidRDefault="00A33ABB" w:rsidP="00A33ABB">
            <w:pPr>
              <w:rPr>
                <w:rFonts w:cs="Arial"/>
                <w:szCs w:val="24"/>
              </w:rPr>
            </w:pPr>
            <w:r w:rsidRPr="00A33ABB">
              <w:rPr>
                <w:rFonts w:cs="Arial"/>
                <w:b/>
                <w:bCs/>
                <w:szCs w:val="24"/>
              </w:rPr>
              <w:t>Key Stage</w:t>
            </w:r>
          </w:p>
        </w:tc>
        <w:tc>
          <w:tcPr>
            <w:tcW w:w="1276"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bottom"/>
            <w:hideMark/>
          </w:tcPr>
          <w:p w:rsidR="00A33ABB" w:rsidRPr="00A33ABB" w:rsidRDefault="00A33ABB" w:rsidP="00A33ABB">
            <w:pPr>
              <w:rPr>
                <w:rFonts w:cs="Arial"/>
                <w:szCs w:val="24"/>
              </w:rPr>
            </w:pPr>
            <w:r w:rsidRPr="00A33ABB">
              <w:rPr>
                <w:rFonts w:cs="Arial"/>
                <w:b/>
                <w:bCs/>
                <w:szCs w:val="24"/>
              </w:rPr>
              <w:t>Number of pupils in school</w:t>
            </w:r>
          </w:p>
        </w:tc>
        <w:tc>
          <w:tcPr>
            <w:tcW w:w="1559" w:type="dxa"/>
            <w:tcBorders>
              <w:top w:val="single" w:sz="8" w:space="0" w:color="000000"/>
              <w:left w:val="single" w:sz="18" w:space="0" w:color="000000"/>
              <w:bottom w:val="single" w:sz="8" w:space="0" w:color="000000"/>
              <w:right w:val="single" w:sz="18" w:space="0" w:color="000000"/>
            </w:tcBorders>
            <w:shd w:val="clear" w:color="auto" w:fill="CCFFFF"/>
            <w:tcMar>
              <w:top w:w="65" w:type="dxa"/>
              <w:left w:w="130" w:type="dxa"/>
              <w:bottom w:w="65" w:type="dxa"/>
              <w:right w:w="130" w:type="dxa"/>
            </w:tcMar>
            <w:vAlign w:val="bottom"/>
            <w:hideMark/>
          </w:tcPr>
          <w:p w:rsidR="00A33ABB" w:rsidRPr="00A33ABB" w:rsidRDefault="00A33ABB" w:rsidP="00A33ABB">
            <w:pPr>
              <w:rPr>
                <w:rFonts w:cs="Arial"/>
                <w:szCs w:val="24"/>
              </w:rPr>
            </w:pPr>
            <w:r w:rsidRPr="00A33ABB">
              <w:rPr>
                <w:rFonts w:cs="Arial"/>
                <w:b/>
                <w:bCs/>
                <w:szCs w:val="24"/>
              </w:rPr>
              <w:t>Number of children out of school (%)</w:t>
            </w:r>
          </w:p>
        </w:tc>
        <w:tc>
          <w:tcPr>
            <w:tcW w:w="1276" w:type="dxa"/>
            <w:tcBorders>
              <w:top w:val="single" w:sz="8" w:space="0" w:color="000000"/>
              <w:left w:val="single" w:sz="18" w:space="0" w:color="000000"/>
              <w:bottom w:val="single" w:sz="8" w:space="0" w:color="000000"/>
              <w:right w:val="single" w:sz="8" w:space="0" w:color="000000"/>
            </w:tcBorders>
            <w:shd w:val="clear" w:color="auto" w:fill="CCFFCC"/>
            <w:tcMar>
              <w:top w:w="65" w:type="dxa"/>
              <w:left w:w="130" w:type="dxa"/>
              <w:bottom w:w="65" w:type="dxa"/>
              <w:right w:w="130" w:type="dxa"/>
            </w:tcMar>
            <w:vAlign w:val="bottom"/>
            <w:hideMark/>
          </w:tcPr>
          <w:p w:rsidR="00A33ABB" w:rsidRPr="00A33ABB" w:rsidRDefault="00A33ABB" w:rsidP="00A33ABB">
            <w:pPr>
              <w:rPr>
                <w:rFonts w:cs="Arial"/>
                <w:szCs w:val="24"/>
              </w:rPr>
            </w:pPr>
            <w:r w:rsidRPr="00A33ABB">
              <w:rPr>
                <w:rFonts w:cs="Arial"/>
                <w:b/>
                <w:bCs/>
                <w:szCs w:val="24"/>
              </w:rPr>
              <w:t>Number of pupils in school</w:t>
            </w:r>
          </w:p>
        </w:tc>
        <w:tc>
          <w:tcPr>
            <w:tcW w:w="1718" w:type="dxa"/>
            <w:tcBorders>
              <w:top w:val="single" w:sz="8" w:space="0" w:color="000000"/>
              <w:left w:val="single" w:sz="8" w:space="0" w:color="000000"/>
              <w:bottom w:val="single" w:sz="8" w:space="0" w:color="000000"/>
              <w:right w:val="single" w:sz="8" w:space="0" w:color="000000"/>
            </w:tcBorders>
            <w:shd w:val="clear" w:color="auto" w:fill="FFFF99"/>
            <w:tcMar>
              <w:top w:w="65" w:type="dxa"/>
              <w:left w:w="130" w:type="dxa"/>
              <w:bottom w:w="65" w:type="dxa"/>
              <w:right w:w="130" w:type="dxa"/>
            </w:tcMar>
            <w:vAlign w:val="bottom"/>
            <w:hideMark/>
          </w:tcPr>
          <w:p w:rsidR="00A33ABB" w:rsidRPr="00A33ABB" w:rsidRDefault="00A33ABB" w:rsidP="00A33ABB">
            <w:pPr>
              <w:rPr>
                <w:rFonts w:cs="Arial"/>
                <w:szCs w:val="24"/>
              </w:rPr>
            </w:pPr>
            <w:r w:rsidRPr="00A33ABB">
              <w:rPr>
                <w:rFonts w:cs="Arial"/>
                <w:b/>
                <w:bCs/>
                <w:szCs w:val="24"/>
              </w:rPr>
              <w:t>Number of children out of school (%)</w:t>
            </w:r>
          </w:p>
        </w:tc>
      </w:tr>
      <w:tr w:rsidR="00A33ABB" w:rsidRPr="00A33ABB" w:rsidTr="00A33ABB">
        <w:trPr>
          <w:trHeight w:val="162"/>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center"/>
            <w:hideMark/>
          </w:tcPr>
          <w:p w:rsidR="00A33ABB" w:rsidRPr="00A33ABB" w:rsidRDefault="00A33ABB" w:rsidP="00A33ABB">
            <w:pPr>
              <w:rPr>
                <w:rFonts w:cs="Arial"/>
                <w:szCs w:val="24"/>
              </w:rPr>
            </w:pPr>
            <w:r w:rsidRPr="00A33ABB">
              <w:rPr>
                <w:rFonts w:cs="Arial"/>
                <w:b/>
                <w:bCs/>
                <w:szCs w:val="24"/>
              </w:rPr>
              <w:t xml:space="preserve">1 </w:t>
            </w:r>
          </w:p>
        </w:tc>
        <w:tc>
          <w:tcPr>
            <w:tcW w:w="1276" w:type="dxa"/>
            <w:tcBorders>
              <w:top w:val="single" w:sz="8" w:space="0" w:color="000000"/>
              <w:left w:val="single" w:sz="8" w:space="0" w:color="000000"/>
              <w:bottom w:val="single" w:sz="8" w:space="0" w:color="000000"/>
              <w:right w:val="single" w:sz="8" w:space="0" w:color="000000"/>
            </w:tcBorders>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97</w:t>
            </w:r>
          </w:p>
        </w:tc>
        <w:tc>
          <w:tcPr>
            <w:tcW w:w="1559" w:type="dxa"/>
            <w:tcBorders>
              <w:top w:val="single" w:sz="8" w:space="0" w:color="000000"/>
              <w:left w:val="single" w:sz="18" w:space="0" w:color="000000"/>
              <w:bottom w:val="single" w:sz="8" w:space="0" w:color="000000"/>
              <w:right w:val="single" w:sz="18" w:space="0" w:color="000000"/>
            </w:tcBorders>
            <w:shd w:val="clear" w:color="auto" w:fill="CCFFFF"/>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0 (0%)</w:t>
            </w:r>
          </w:p>
        </w:tc>
        <w:tc>
          <w:tcPr>
            <w:tcW w:w="1276" w:type="dxa"/>
            <w:tcBorders>
              <w:top w:val="single" w:sz="8" w:space="0" w:color="000000"/>
              <w:left w:val="single" w:sz="18" w:space="0" w:color="000000"/>
              <w:bottom w:val="single" w:sz="8" w:space="0" w:color="000000"/>
              <w:right w:val="single" w:sz="8" w:space="0" w:color="000000"/>
            </w:tcBorders>
            <w:shd w:val="clear" w:color="auto" w:fill="CCFFCC"/>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99</w:t>
            </w:r>
          </w:p>
        </w:tc>
        <w:tc>
          <w:tcPr>
            <w:tcW w:w="1718" w:type="dxa"/>
            <w:tcBorders>
              <w:top w:val="single" w:sz="8" w:space="0" w:color="000000"/>
              <w:left w:val="single" w:sz="8" w:space="0" w:color="000000"/>
              <w:bottom w:val="single" w:sz="8" w:space="0" w:color="000000"/>
              <w:right w:val="single" w:sz="8" w:space="0" w:color="000000"/>
            </w:tcBorders>
            <w:shd w:val="clear" w:color="auto" w:fill="FFFF99"/>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2 (2%)</w:t>
            </w:r>
          </w:p>
        </w:tc>
      </w:tr>
      <w:tr w:rsidR="00A33ABB" w:rsidRPr="00A33ABB" w:rsidTr="00A33ABB">
        <w:trPr>
          <w:trHeight w:val="162"/>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center"/>
            <w:hideMark/>
          </w:tcPr>
          <w:p w:rsidR="00A33ABB" w:rsidRPr="00A33ABB" w:rsidRDefault="00A33ABB" w:rsidP="00A33ABB">
            <w:pPr>
              <w:rPr>
                <w:rFonts w:cs="Arial"/>
                <w:szCs w:val="24"/>
              </w:rPr>
            </w:pPr>
            <w:r w:rsidRPr="00A33ABB">
              <w:rPr>
                <w:rFonts w:cs="Arial"/>
                <w:b/>
                <w:bCs/>
                <w:szCs w:val="24"/>
              </w:rPr>
              <w:t xml:space="preserve">2 </w:t>
            </w:r>
          </w:p>
        </w:tc>
        <w:tc>
          <w:tcPr>
            <w:tcW w:w="1276" w:type="dxa"/>
            <w:tcBorders>
              <w:top w:val="single" w:sz="8" w:space="0" w:color="000000"/>
              <w:left w:val="single" w:sz="8" w:space="0" w:color="000000"/>
              <w:bottom w:val="single" w:sz="8" w:space="0" w:color="000000"/>
              <w:right w:val="single" w:sz="8" w:space="0" w:color="000000"/>
            </w:tcBorders>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149</w:t>
            </w:r>
          </w:p>
        </w:tc>
        <w:tc>
          <w:tcPr>
            <w:tcW w:w="1559" w:type="dxa"/>
            <w:tcBorders>
              <w:top w:val="single" w:sz="8" w:space="0" w:color="000000"/>
              <w:left w:val="single" w:sz="18" w:space="0" w:color="000000"/>
              <w:bottom w:val="single" w:sz="8" w:space="0" w:color="000000"/>
              <w:right w:val="single" w:sz="18" w:space="0" w:color="000000"/>
            </w:tcBorders>
            <w:shd w:val="clear" w:color="auto" w:fill="CCFFFF"/>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2 (1.3%)</w:t>
            </w:r>
          </w:p>
        </w:tc>
        <w:tc>
          <w:tcPr>
            <w:tcW w:w="1276" w:type="dxa"/>
            <w:tcBorders>
              <w:top w:val="single" w:sz="8" w:space="0" w:color="000000"/>
              <w:left w:val="single" w:sz="18" w:space="0" w:color="000000"/>
              <w:bottom w:val="single" w:sz="8" w:space="0" w:color="000000"/>
              <w:right w:val="single" w:sz="8" w:space="0" w:color="000000"/>
            </w:tcBorders>
            <w:shd w:val="clear" w:color="auto" w:fill="CCFFCC"/>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188</w:t>
            </w:r>
          </w:p>
        </w:tc>
        <w:tc>
          <w:tcPr>
            <w:tcW w:w="1718" w:type="dxa"/>
            <w:tcBorders>
              <w:top w:val="single" w:sz="8" w:space="0" w:color="000000"/>
              <w:left w:val="single" w:sz="8" w:space="0" w:color="000000"/>
              <w:bottom w:val="single" w:sz="8" w:space="0" w:color="000000"/>
              <w:right w:val="single" w:sz="8" w:space="0" w:color="000000"/>
            </w:tcBorders>
            <w:shd w:val="clear" w:color="auto" w:fill="FFFF99"/>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6 (3.1%)</w:t>
            </w:r>
          </w:p>
        </w:tc>
      </w:tr>
      <w:tr w:rsidR="00A33ABB" w:rsidRPr="00A33ABB" w:rsidTr="00A33ABB">
        <w:trPr>
          <w:trHeight w:val="421"/>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center"/>
            <w:hideMark/>
          </w:tcPr>
          <w:p w:rsidR="00A33ABB" w:rsidRPr="00A33ABB" w:rsidRDefault="00A33ABB" w:rsidP="00A33ABB">
            <w:pPr>
              <w:rPr>
                <w:rFonts w:cs="Arial"/>
                <w:szCs w:val="24"/>
              </w:rPr>
            </w:pPr>
            <w:r w:rsidRPr="00A33ABB">
              <w:rPr>
                <w:rFonts w:cs="Arial"/>
                <w:b/>
                <w:bCs/>
                <w:szCs w:val="24"/>
              </w:rPr>
              <w:t xml:space="preserve">3 </w:t>
            </w:r>
          </w:p>
        </w:tc>
        <w:tc>
          <w:tcPr>
            <w:tcW w:w="1276" w:type="dxa"/>
            <w:tcBorders>
              <w:top w:val="single" w:sz="8" w:space="0" w:color="000000"/>
              <w:left w:val="single" w:sz="8" w:space="0" w:color="000000"/>
              <w:bottom w:val="single" w:sz="8" w:space="0" w:color="000000"/>
              <w:right w:val="single" w:sz="8" w:space="0" w:color="000000"/>
            </w:tcBorders>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48</w:t>
            </w:r>
          </w:p>
        </w:tc>
        <w:tc>
          <w:tcPr>
            <w:tcW w:w="1559" w:type="dxa"/>
            <w:tcBorders>
              <w:top w:val="single" w:sz="8" w:space="0" w:color="000000"/>
              <w:left w:val="single" w:sz="18" w:space="0" w:color="000000"/>
              <w:bottom w:val="single" w:sz="8" w:space="0" w:color="000000"/>
              <w:right w:val="single" w:sz="18" w:space="0" w:color="000000"/>
            </w:tcBorders>
            <w:shd w:val="clear" w:color="auto" w:fill="CCFFFF"/>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73 (60%)</w:t>
            </w:r>
          </w:p>
        </w:tc>
        <w:tc>
          <w:tcPr>
            <w:tcW w:w="1276" w:type="dxa"/>
            <w:tcBorders>
              <w:top w:val="single" w:sz="8" w:space="0" w:color="000000"/>
              <w:left w:val="single" w:sz="18" w:space="0" w:color="000000"/>
              <w:bottom w:val="single" w:sz="8" w:space="0" w:color="000000"/>
              <w:right w:val="single" w:sz="8" w:space="0" w:color="000000"/>
            </w:tcBorders>
            <w:shd w:val="clear" w:color="auto" w:fill="CCFFCC"/>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77</w:t>
            </w:r>
          </w:p>
        </w:tc>
        <w:tc>
          <w:tcPr>
            <w:tcW w:w="1718" w:type="dxa"/>
            <w:tcBorders>
              <w:top w:val="single" w:sz="8" w:space="0" w:color="000000"/>
              <w:left w:val="single" w:sz="8" w:space="0" w:color="000000"/>
              <w:bottom w:val="single" w:sz="8" w:space="0" w:color="000000"/>
              <w:right w:val="single" w:sz="8" w:space="0" w:color="000000"/>
            </w:tcBorders>
            <w:shd w:val="clear" w:color="auto" w:fill="FFFF99"/>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52 (40.3%)</w:t>
            </w:r>
          </w:p>
        </w:tc>
      </w:tr>
      <w:tr w:rsidR="00A33ABB" w:rsidRPr="00A33ABB" w:rsidTr="00A33ABB">
        <w:trPr>
          <w:trHeight w:val="10"/>
          <w:jc w:val="center"/>
        </w:trPr>
        <w:tc>
          <w:tcPr>
            <w:tcW w:w="981" w:type="dxa"/>
            <w:tcBorders>
              <w:top w:val="single" w:sz="8" w:space="0" w:color="000000"/>
              <w:left w:val="single" w:sz="8" w:space="0" w:color="000000"/>
              <w:bottom w:val="single" w:sz="8" w:space="0" w:color="000000"/>
              <w:right w:val="single" w:sz="8" w:space="0" w:color="000000"/>
            </w:tcBorders>
            <w:tcMar>
              <w:top w:w="65" w:type="dxa"/>
              <w:left w:w="130" w:type="dxa"/>
              <w:bottom w:w="65" w:type="dxa"/>
              <w:right w:w="130" w:type="dxa"/>
            </w:tcMar>
            <w:vAlign w:val="center"/>
            <w:hideMark/>
          </w:tcPr>
          <w:p w:rsidR="00A33ABB" w:rsidRPr="00A33ABB" w:rsidRDefault="00A33ABB" w:rsidP="00A33ABB">
            <w:pPr>
              <w:rPr>
                <w:rFonts w:cs="Arial"/>
                <w:szCs w:val="24"/>
              </w:rPr>
            </w:pPr>
            <w:r w:rsidRPr="00A33ABB">
              <w:rPr>
                <w:rFonts w:cs="Arial"/>
                <w:b/>
                <w:bCs/>
                <w:szCs w:val="24"/>
              </w:rPr>
              <w:t xml:space="preserve">4 </w:t>
            </w:r>
          </w:p>
        </w:tc>
        <w:tc>
          <w:tcPr>
            <w:tcW w:w="1276" w:type="dxa"/>
            <w:tcBorders>
              <w:top w:val="single" w:sz="8" w:space="0" w:color="000000"/>
              <w:left w:val="single" w:sz="8" w:space="0" w:color="000000"/>
              <w:bottom w:val="single" w:sz="8" w:space="0" w:color="000000"/>
              <w:right w:val="single" w:sz="8" w:space="0" w:color="000000"/>
            </w:tcBorders>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6</w:t>
            </w:r>
          </w:p>
        </w:tc>
        <w:tc>
          <w:tcPr>
            <w:tcW w:w="1559" w:type="dxa"/>
            <w:tcBorders>
              <w:top w:val="single" w:sz="8" w:space="0" w:color="000000"/>
              <w:left w:val="single" w:sz="18" w:space="0" w:color="000000"/>
              <w:bottom w:val="single" w:sz="8" w:space="0" w:color="000000"/>
              <w:right w:val="single" w:sz="18" w:space="0" w:color="000000"/>
            </w:tcBorders>
            <w:shd w:val="clear" w:color="auto" w:fill="CCFFFF"/>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57 (90%)</w:t>
            </w:r>
          </w:p>
        </w:tc>
        <w:tc>
          <w:tcPr>
            <w:tcW w:w="1276" w:type="dxa"/>
            <w:tcBorders>
              <w:top w:val="single" w:sz="8" w:space="0" w:color="000000"/>
              <w:left w:val="single" w:sz="18" w:space="0" w:color="000000"/>
              <w:bottom w:val="single" w:sz="8" w:space="0" w:color="000000"/>
              <w:right w:val="single" w:sz="8" w:space="0" w:color="000000"/>
            </w:tcBorders>
            <w:shd w:val="clear" w:color="auto" w:fill="CCFFCC"/>
            <w:tcMar>
              <w:top w:w="19" w:type="dxa"/>
              <w:left w:w="93" w:type="dxa"/>
              <w:bottom w:w="0" w:type="dxa"/>
              <w:right w:w="93" w:type="dxa"/>
            </w:tcMar>
            <w:vAlign w:val="center"/>
            <w:hideMark/>
          </w:tcPr>
          <w:p w:rsidR="00A33ABB" w:rsidRPr="00A33ABB" w:rsidRDefault="00A33ABB" w:rsidP="00A33ABB">
            <w:pPr>
              <w:jc w:val="center"/>
              <w:rPr>
                <w:rFonts w:cs="Arial"/>
                <w:szCs w:val="24"/>
              </w:rPr>
            </w:pPr>
            <w:r w:rsidRPr="00A33ABB">
              <w:rPr>
                <w:rFonts w:cs="Arial"/>
                <w:b/>
                <w:bCs/>
                <w:szCs w:val="24"/>
              </w:rPr>
              <w:t>26</w:t>
            </w:r>
          </w:p>
        </w:tc>
        <w:tc>
          <w:tcPr>
            <w:tcW w:w="1718" w:type="dxa"/>
            <w:tcBorders>
              <w:top w:val="single" w:sz="8" w:space="0" w:color="000000"/>
              <w:left w:val="single" w:sz="8" w:space="0" w:color="000000"/>
              <w:bottom w:val="single" w:sz="8" w:space="0" w:color="000000"/>
              <w:right w:val="single" w:sz="8" w:space="0" w:color="000000"/>
            </w:tcBorders>
            <w:shd w:val="clear" w:color="auto" w:fill="FFFF99"/>
            <w:tcMar>
              <w:top w:w="19" w:type="dxa"/>
              <w:left w:w="93" w:type="dxa"/>
              <w:bottom w:w="0" w:type="dxa"/>
              <w:right w:w="93" w:type="dxa"/>
            </w:tcMar>
            <w:vAlign w:val="center"/>
            <w:hideMark/>
          </w:tcPr>
          <w:p w:rsidR="00A33ABB" w:rsidRPr="00A33ABB" w:rsidRDefault="00A33ABB" w:rsidP="00A33ABB">
            <w:pPr>
              <w:spacing w:line="360" w:lineRule="auto"/>
              <w:jc w:val="center"/>
              <w:rPr>
                <w:rFonts w:cs="Arial"/>
                <w:szCs w:val="24"/>
              </w:rPr>
            </w:pPr>
            <w:r w:rsidRPr="00A33ABB">
              <w:rPr>
                <w:rFonts w:cs="Arial"/>
                <w:b/>
                <w:bCs/>
                <w:szCs w:val="24"/>
              </w:rPr>
              <w:t>60 (69.7%)</w:t>
            </w:r>
          </w:p>
        </w:tc>
      </w:tr>
    </w:tbl>
    <w:p w:rsidR="00A33ABB" w:rsidRDefault="00A33ABB" w:rsidP="00A33ABB">
      <w:pPr>
        <w:rPr>
          <w:rFonts w:cs="Arial"/>
          <w:b/>
          <w:szCs w:val="24"/>
        </w:rPr>
      </w:pPr>
      <w:r w:rsidRPr="00A33ABB">
        <w:rPr>
          <w:rFonts w:cs="Arial"/>
          <w:b/>
          <w:szCs w:val="24"/>
        </w:rPr>
        <w:lastRenderedPageBreak/>
        <w:t>Outcomes at end of KS4</w:t>
      </w:r>
    </w:p>
    <w:p w:rsidR="00A33ABB" w:rsidRPr="00A33ABB" w:rsidRDefault="00A33ABB" w:rsidP="00A33ABB">
      <w:pPr>
        <w:rPr>
          <w:rFonts w:cs="Arial"/>
          <w:b/>
          <w:szCs w:val="24"/>
        </w:rPr>
      </w:pPr>
    </w:p>
    <w:p w:rsidR="00A33ABB" w:rsidRDefault="00E54CFB" w:rsidP="00A33ABB">
      <w:pPr>
        <w:ind w:left="360"/>
        <w:rPr>
          <w:rFonts w:cs="Arial"/>
          <w:szCs w:val="24"/>
        </w:rPr>
      </w:pPr>
      <w:r>
        <w:rPr>
          <w:rFonts w:cs="Arial"/>
          <w:szCs w:val="24"/>
        </w:rPr>
        <w:t xml:space="preserve">Only </w:t>
      </w:r>
      <w:r w:rsidR="00A33ABB" w:rsidRPr="00A33ABB">
        <w:rPr>
          <w:rFonts w:cs="Arial"/>
          <w:szCs w:val="24"/>
        </w:rPr>
        <w:t xml:space="preserve">22% (7 pupils) of Year 11-age GRT children </w:t>
      </w:r>
      <w:r w:rsidR="00A33ABB" w:rsidRPr="00DA1434">
        <w:rPr>
          <w:rFonts w:cs="Arial"/>
          <w:szCs w:val="24"/>
        </w:rPr>
        <w:t xml:space="preserve">known to the service </w:t>
      </w:r>
      <w:r w:rsidR="00A33ABB" w:rsidRPr="00A33ABB">
        <w:rPr>
          <w:rFonts w:cs="Arial"/>
          <w:szCs w:val="24"/>
        </w:rPr>
        <w:t>are still attending scho</w:t>
      </w:r>
      <w:r w:rsidR="003C31B3">
        <w:rPr>
          <w:rFonts w:cs="Arial"/>
          <w:szCs w:val="24"/>
        </w:rPr>
        <w:t>ol at the end of KS4.  Of these,</w:t>
      </w:r>
      <w:r w:rsidR="00A33ABB" w:rsidRPr="00A33ABB">
        <w:rPr>
          <w:rFonts w:cs="Arial"/>
          <w:szCs w:val="24"/>
        </w:rPr>
        <w:t xml:space="preserve"> three disappeared in year before sitting GCSEs, the remaining 4 all achieved 5A*-E.</w:t>
      </w:r>
    </w:p>
    <w:p w:rsidR="00A33ABB" w:rsidRPr="00A33ABB" w:rsidRDefault="00A33ABB" w:rsidP="00A33ABB">
      <w:pPr>
        <w:ind w:left="360"/>
        <w:rPr>
          <w:rFonts w:cs="Arial"/>
          <w:szCs w:val="24"/>
        </w:rPr>
      </w:pPr>
    </w:p>
    <w:p w:rsidR="00A33ABB" w:rsidRDefault="00A33ABB" w:rsidP="000116FB">
      <w:pPr>
        <w:ind w:left="360"/>
        <w:jc w:val="both"/>
        <w:rPr>
          <w:rFonts w:cs="Arial"/>
          <w:szCs w:val="24"/>
        </w:rPr>
      </w:pPr>
      <w:r w:rsidRPr="00A33ABB">
        <w:rPr>
          <w:rFonts w:cs="Arial"/>
          <w:szCs w:val="24"/>
        </w:rPr>
        <w:t xml:space="preserve"> GRT secondary age pupils arriving in secondary school other than via normal transfer from secondary school sometimes choose to not self-ascribe as GRT - and so may be unknown to us unless a school highlights an issue. </w:t>
      </w:r>
    </w:p>
    <w:p w:rsidR="00E54CFB" w:rsidRPr="00A33ABB" w:rsidRDefault="00E54CFB" w:rsidP="000116FB">
      <w:pPr>
        <w:ind w:left="360"/>
        <w:jc w:val="both"/>
        <w:rPr>
          <w:rFonts w:cs="Arial"/>
          <w:szCs w:val="24"/>
        </w:rPr>
      </w:pPr>
    </w:p>
    <w:p w:rsidR="00A33ABB" w:rsidRPr="00A33ABB" w:rsidRDefault="00A33ABB" w:rsidP="000116FB">
      <w:pPr>
        <w:ind w:left="360"/>
        <w:jc w:val="both"/>
        <w:rPr>
          <w:rFonts w:cs="Arial"/>
          <w:szCs w:val="24"/>
        </w:rPr>
      </w:pPr>
      <w:r w:rsidRPr="00A33ABB">
        <w:rPr>
          <w:rFonts w:cs="Arial"/>
          <w:szCs w:val="24"/>
        </w:rPr>
        <w:t>Of the 32 Year 11 pupils not on schoo</w:t>
      </w:r>
      <w:r>
        <w:rPr>
          <w:rFonts w:cs="Arial"/>
          <w:szCs w:val="24"/>
        </w:rPr>
        <w:t xml:space="preserve">l rolls at the end of Year 11, </w:t>
      </w:r>
      <w:r w:rsidRPr="00A33ABB">
        <w:rPr>
          <w:rFonts w:cs="Arial"/>
          <w:szCs w:val="24"/>
        </w:rPr>
        <w:t>7 had been supported to take up places on vocational courses at college or vocational units attached to secondary schools.  Many more had expressed an interest in college attendance despite not having attended school.</w:t>
      </w:r>
    </w:p>
    <w:p w:rsidR="00A33ABB" w:rsidRPr="00A33ABB" w:rsidRDefault="00A33ABB" w:rsidP="000116FB">
      <w:pPr>
        <w:jc w:val="both"/>
        <w:rPr>
          <w:rFonts w:cs="Arial"/>
          <w:b/>
          <w:szCs w:val="24"/>
          <w:u w:val="single"/>
        </w:rPr>
      </w:pPr>
    </w:p>
    <w:p w:rsidR="00A33ABB" w:rsidRPr="00A33ABB" w:rsidRDefault="00A33ABB" w:rsidP="00A33ABB">
      <w:pPr>
        <w:rPr>
          <w:rFonts w:cs="Arial"/>
          <w:szCs w:val="24"/>
        </w:rPr>
      </w:pPr>
      <w:r w:rsidRPr="00A33ABB">
        <w:rPr>
          <w:rFonts w:cs="Arial"/>
          <w:szCs w:val="24"/>
        </w:rPr>
        <w:t>Th</w:t>
      </w:r>
      <w:r w:rsidR="00E54CFB">
        <w:rPr>
          <w:rFonts w:cs="Arial"/>
          <w:szCs w:val="24"/>
        </w:rPr>
        <w:t>ere are several reasons why GRT</w:t>
      </w:r>
      <w:r w:rsidRPr="00A33ABB">
        <w:rPr>
          <w:rFonts w:cs="Arial"/>
          <w:szCs w:val="24"/>
        </w:rPr>
        <w:t xml:space="preserve"> families do not pa</w:t>
      </w:r>
      <w:r w:rsidR="00981ECB">
        <w:rPr>
          <w:rFonts w:cs="Arial"/>
          <w:szCs w:val="24"/>
        </w:rPr>
        <w:t>rticipate in</w:t>
      </w:r>
      <w:r w:rsidR="002F0FFF">
        <w:rPr>
          <w:rFonts w:cs="Arial"/>
          <w:szCs w:val="24"/>
        </w:rPr>
        <w:t xml:space="preserve"> education in a school setting</w:t>
      </w:r>
      <w:r w:rsidRPr="00A33ABB">
        <w:rPr>
          <w:rFonts w:cs="Arial"/>
          <w:szCs w:val="24"/>
        </w:rPr>
        <w:t>:</w:t>
      </w:r>
    </w:p>
    <w:p w:rsidR="00A33ABB" w:rsidRPr="00A33ABB" w:rsidRDefault="00A33ABB" w:rsidP="00A33ABB">
      <w:pPr>
        <w:pStyle w:val="PlainText"/>
        <w:rPr>
          <w:rFonts w:ascii="Arial" w:hAnsi="Arial" w:cs="Arial"/>
          <w:sz w:val="24"/>
          <w:szCs w:val="24"/>
        </w:rPr>
      </w:pPr>
    </w:p>
    <w:p w:rsidR="00A33ABB" w:rsidRPr="00A33ABB" w:rsidRDefault="00A33ABB" w:rsidP="00A33ABB">
      <w:pPr>
        <w:pStyle w:val="PlainText"/>
        <w:numPr>
          <w:ilvl w:val="0"/>
          <w:numId w:val="13"/>
        </w:numPr>
        <w:rPr>
          <w:rFonts w:ascii="Arial" w:hAnsi="Arial" w:cs="Arial"/>
          <w:sz w:val="24"/>
          <w:szCs w:val="24"/>
        </w:rPr>
      </w:pPr>
      <w:r w:rsidRPr="00A33ABB">
        <w:rPr>
          <w:rFonts w:ascii="Arial" w:hAnsi="Arial" w:cs="Arial"/>
          <w:sz w:val="24"/>
          <w:szCs w:val="24"/>
        </w:rPr>
        <w:t>Elective Home Education</w:t>
      </w:r>
    </w:p>
    <w:p w:rsidR="00A33ABB" w:rsidRPr="00A33ABB" w:rsidRDefault="00A33ABB" w:rsidP="00A33ABB">
      <w:pPr>
        <w:pStyle w:val="PlainText"/>
        <w:rPr>
          <w:rFonts w:ascii="Arial" w:hAnsi="Arial" w:cs="Arial"/>
          <w:sz w:val="24"/>
          <w:szCs w:val="24"/>
        </w:rPr>
      </w:pPr>
    </w:p>
    <w:p w:rsidR="00A33ABB" w:rsidRPr="00A33ABB" w:rsidRDefault="00A33ABB" w:rsidP="000116FB">
      <w:pPr>
        <w:pStyle w:val="PlainText"/>
        <w:ind w:left="720"/>
        <w:jc w:val="both"/>
        <w:rPr>
          <w:rFonts w:ascii="Arial" w:hAnsi="Arial" w:cs="Arial"/>
          <w:sz w:val="24"/>
          <w:szCs w:val="24"/>
        </w:rPr>
      </w:pPr>
      <w:r w:rsidRPr="00A33ABB">
        <w:rPr>
          <w:rFonts w:ascii="Arial" w:hAnsi="Arial" w:cs="Arial"/>
          <w:sz w:val="24"/>
          <w:szCs w:val="24"/>
        </w:rPr>
        <w:t>Over the past ten years, considerable numbers of GRT families throughout the UK have chosen to elect to teach their children at home – usually when children reach secondary school age.  Some</w:t>
      </w:r>
      <w:r w:rsidR="00E54CFB">
        <w:rPr>
          <w:rFonts w:ascii="Arial" w:hAnsi="Arial" w:cs="Arial"/>
          <w:sz w:val="24"/>
          <w:szCs w:val="24"/>
        </w:rPr>
        <w:t xml:space="preserve"> families do this very effectively</w:t>
      </w:r>
      <w:r w:rsidRPr="00A33ABB">
        <w:rPr>
          <w:rFonts w:ascii="Arial" w:hAnsi="Arial" w:cs="Arial"/>
          <w:sz w:val="24"/>
          <w:szCs w:val="24"/>
        </w:rPr>
        <w:t xml:space="preserve"> and their children make good</w:t>
      </w:r>
      <w:r w:rsidR="00E54CFB">
        <w:rPr>
          <w:rFonts w:ascii="Arial" w:hAnsi="Arial" w:cs="Arial"/>
          <w:sz w:val="24"/>
          <w:szCs w:val="24"/>
        </w:rPr>
        <w:t xml:space="preserve"> educational progress.  However many</w:t>
      </w:r>
      <w:r w:rsidRPr="00A33ABB">
        <w:rPr>
          <w:rFonts w:ascii="Arial" w:hAnsi="Arial" w:cs="Arial"/>
          <w:sz w:val="24"/>
          <w:szCs w:val="24"/>
        </w:rPr>
        <w:t xml:space="preserve"> of these families</w:t>
      </w:r>
      <w:r w:rsidR="00E54CFB">
        <w:rPr>
          <w:rFonts w:ascii="Arial" w:hAnsi="Arial" w:cs="Arial"/>
          <w:sz w:val="24"/>
          <w:szCs w:val="24"/>
        </w:rPr>
        <w:t xml:space="preserve"> find it difficult </w:t>
      </w:r>
      <w:r w:rsidRPr="00A33ABB">
        <w:rPr>
          <w:rFonts w:ascii="Arial" w:hAnsi="Arial" w:cs="Arial"/>
          <w:sz w:val="24"/>
          <w:szCs w:val="24"/>
        </w:rPr>
        <w:t xml:space="preserve">to provide or organise learning at a level appropriate to their children's needs.  </w:t>
      </w:r>
    </w:p>
    <w:p w:rsidR="00A33ABB" w:rsidRPr="00A33ABB" w:rsidRDefault="00A33ABB" w:rsidP="00A33ABB">
      <w:pPr>
        <w:pStyle w:val="PlainText"/>
        <w:rPr>
          <w:rFonts w:ascii="Arial" w:hAnsi="Arial" w:cs="Arial"/>
          <w:sz w:val="24"/>
          <w:szCs w:val="24"/>
        </w:rPr>
      </w:pPr>
    </w:p>
    <w:p w:rsidR="00A33ABB" w:rsidRPr="00A33ABB" w:rsidRDefault="00A33ABB" w:rsidP="00A33ABB">
      <w:pPr>
        <w:pStyle w:val="PlainText"/>
        <w:numPr>
          <w:ilvl w:val="0"/>
          <w:numId w:val="13"/>
        </w:numPr>
        <w:rPr>
          <w:rFonts w:ascii="Arial" w:hAnsi="Arial" w:cs="Arial"/>
          <w:sz w:val="24"/>
          <w:szCs w:val="24"/>
        </w:rPr>
      </w:pPr>
      <w:r w:rsidRPr="00A33ABB">
        <w:rPr>
          <w:rFonts w:ascii="Arial" w:hAnsi="Arial" w:cs="Arial"/>
          <w:sz w:val="24"/>
          <w:szCs w:val="24"/>
        </w:rPr>
        <w:t>Mobility</w:t>
      </w:r>
    </w:p>
    <w:p w:rsidR="00A33ABB" w:rsidRPr="00A33ABB" w:rsidRDefault="00A33ABB" w:rsidP="00A33ABB">
      <w:pPr>
        <w:pStyle w:val="PlainText"/>
        <w:rPr>
          <w:rFonts w:ascii="Arial" w:hAnsi="Arial" w:cs="Arial"/>
          <w:sz w:val="24"/>
          <w:szCs w:val="24"/>
        </w:rPr>
      </w:pPr>
    </w:p>
    <w:p w:rsidR="00A33ABB" w:rsidRPr="00A33ABB" w:rsidRDefault="00A33ABB" w:rsidP="000116FB">
      <w:pPr>
        <w:pStyle w:val="PlainText"/>
        <w:ind w:left="720"/>
        <w:jc w:val="both"/>
        <w:rPr>
          <w:rFonts w:ascii="Arial" w:hAnsi="Arial" w:cs="Arial"/>
          <w:sz w:val="24"/>
          <w:szCs w:val="24"/>
        </w:rPr>
      </w:pPr>
      <w:r w:rsidRPr="00A33ABB">
        <w:rPr>
          <w:rFonts w:ascii="Arial" w:hAnsi="Arial" w:cs="Arial"/>
          <w:sz w:val="24"/>
          <w:szCs w:val="24"/>
        </w:rPr>
        <w:t xml:space="preserve">Relatively few GRT families are genuinely mobile for significant portions of the year.  Many families who are seen on unauthorised encampments either on the highway or on private land have a permanent home or a pitch on a local authority or private site somewhere.  They may be visiting for work or for family occasions.  However, this mobility makes it easier to </w:t>
      </w:r>
      <w:r w:rsidR="00E54CFB">
        <w:rPr>
          <w:rFonts w:ascii="Arial" w:hAnsi="Arial" w:cs="Arial"/>
          <w:sz w:val="24"/>
          <w:szCs w:val="24"/>
        </w:rPr>
        <w:t xml:space="preserve">choose </w:t>
      </w:r>
      <w:r w:rsidRPr="00A33ABB">
        <w:rPr>
          <w:rFonts w:ascii="Arial" w:hAnsi="Arial" w:cs="Arial"/>
          <w:sz w:val="24"/>
          <w:szCs w:val="24"/>
        </w:rPr>
        <w:t xml:space="preserve">not participate in a school education setting.  Some families will cite the '200 sessions rule' – a protection in law for families who have genuine reasons for mobility and where access to school cannot be secured.  </w:t>
      </w:r>
    </w:p>
    <w:p w:rsidR="00A33ABB" w:rsidRPr="00A33ABB" w:rsidRDefault="00A33ABB" w:rsidP="00A33ABB">
      <w:pPr>
        <w:pStyle w:val="PlainText"/>
        <w:rPr>
          <w:rFonts w:ascii="Arial" w:hAnsi="Arial" w:cs="Arial"/>
          <w:sz w:val="24"/>
          <w:szCs w:val="24"/>
        </w:rPr>
      </w:pPr>
    </w:p>
    <w:p w:rsidR="00A33ABB" w:rsidRPr="00A33ABB" w:rsidRDefault="00A33ABB" w:rsidP="00A33ABB">
      <w:pPr>
        <w:pStyle w:val="PlainText"/>
        <w:numPr>
          <w:ilvl w:val="0"/>
          <w:numId w:val="13"/>
        </w:numPr>
        <w:rPr>
          <w:rFonts w:ascii="Arial" w:hAnsi="Arial" w:cs="Arial"/>
          <w:sz w:val="24"/>
          <w:szCs w:val="24"/>
        </w:rPr>
      </w:pPr>
      <w:r w:rsidRPr="00A33ABB">
        <w:rPr>
          <w:rFonts w:ascii="Arial" w:hAnsi="Arial" w:cs="Arial"/>
          <w:sz w:val="24"/>
          <w:szCs w:val="24"/>
        </w:rPr>
        <w:t>Anonymity</w:t>
      </w:r>
    </w:p>
    <w:p w:rsidR="00A33ABB" w:rsidRPr="00A33ABB" w:rsidRDefault="00A33ABB" w:rsidP="00A33ABB">
      <w:pPr>
        <w:pStyle w:val="PlainText"/>
        <w:rPr>
          <w:rFonts w:ascii="Arial" w:hAnsi="Arial" w:cs="Arial"/>
          <w:sz w:val="24"/>
          <w:szCs w:val="24"/>
        </w:rPr>
      </w:pPr>
    </w:p>
    <w:p w:rsidR="00A33ABB" w:rsidRPr="00A33ABB" w:rsidRDefault="00A33ABB" w:rsidP="000116FB">
      <w:pPr>
        <w:pStyle w:val="PlainText"/>
        <w:ind w:left="720"/>
        <w:jc w:val="both"/>
        <w:rPr>
          <w:rFonts w:ascii="Arial" w:hAnsi="Arial" w:cs="Arial"/>
          <w:sz w:val="24"/>
          <w:szCs w:val="24"/>
        </w:rPr>
      </w:pPr>
      <w:r w:rsidRPr="00A33ABB">
        <w:rPr>
          <w:rFonts w:ascii="Arial" w:hAnsi="Arial" w:cs="Arial"/>
          <w:sz w:val="24"/>
          <w:szCs w:val="24"/>
        </w:rPr>
        <w:t>It is relatively easy for a GRT family new to a county to give false information to visiting officers about the educational status of their children and so maintain anonymity and avoid their duties as parents.  High mobility and short eviction times can make it difficult to build relationships with a new family and establish their family details.</w:t>
      </w:r>
    </w:p>
    <w:p w:rsidR="00A33ABB" w:rsidRPr="00A33ABB" w:rsidRDefault="00A33ABB" w:rsidP="00A33ABB">
      <w:pPr>
        <w:pStyle w:val="PlainText"/>
        <w:rPr>
          <w:rFonts w:ascii="Arial" w:hAnsi="Arial" w:cs="Arial"/>
          <w:sz w:val="24"/>
          <w:szCs w:val="24"/>
        </w:rPr>
      </w:pPr>
    </w:p>
    <w:p w:rsidR="00A33ABB" w:rsidRPr="003C31B3" w:rsidRDefault="00A33ABB" w:rsidP="00A33ABB">
      <w:pPr>
        <w:pStyle w:val="PlainText"/>
        <w:rPr>
          <w:rFonts w:ascii="Arial" w:hAnsi="Arial" w:cs="Arial"/>
          <w:b/>
          <w:sz w:val="24"/>
          <w:szCs w:val="24"/>
        </w:rPr>
      </w:pPr>
      <w:r w:rsidRPr="00E54CFB">
        <w:rPr>
          <w:rFonts w:ascii="Arial" w:hAnsi="Arial" w:cs="Arial"/>
          <w:b/>
          <w:sz w:val="24"/>
          <w:szCs w:val="24"/>
        </w:rPr>
        <w:t>Strategies</w:t>
      </w:r>
      <w:r w:rsidR="003C31B3">
        <w:rPr>
          <w:rFonts w:ascii="Arial" w:hAnsi="Arial" w:cs="Arial"/>
          <w:b/>
          <w:sz w:val="24"/>
          <w:szCs w:val="24"/>
        </w:rPr>
        <w:t>:</w:t>
      </w:r>
    </w:p>
    <w:p w:rsidR="00A33ABB" w:rsidRPr="00A33ABB" w:rsidRDefault="00A33ABB" w:rsidP="00A33ABB">
      <w:pPr>
        <w:pStyle w:val="PlainText"/>
        <w:rPr>
          <w:rFonts w:ascii="Arial" w:hAnsi="Arial" w:cs="Arial"/>
          <w:sz w:val="24"/>
          <w:szCs w:val="24"/>
        </w:rPr>
      </w:pPr>
    </w:p>
    <w:p w:rsidR="00A33ABB" w:rsidRDefault="00A33ABB" w:rsidP="003C31B3">
      <w:pPr>
        <w:pStyle w:val="PlainText"/>
        <w:jc w:val="both"/>
        <w:rPr>
          <w:rFonts w:ascii="Arial" w:hAnsi="Arial" w:cs="Arial"/>
          <w:sz w:val="24"/>
          <w:szCs w:val="24"/>
        </w:rPr>
      </w:pPr>
      <w:r w:rsidRPr="00A33ABB">
        <w:rPr>
          <w:rFonts w:ascii="Arial" w:hAnsi="Arial" w:cs="Arial"/>
          <w:sz w:val="24"/>
          <w:szCs w:val="24"/>
        </w:rPr>
        <w:t>The core strategy for dealing with avoidance of education by GRT families is close partnership between the services working directly with GRT families, namely:</w:t>
      </w:r>
    </w:p>
    <w:p w:rsidR="003C31B3" w:rsidRPr="003C31B3" w:rsidRDefault="003C31B3" w:rsidP="003C31B3">
      <w:pPr>
        <w:pStyle w:val="PlainText"/>
        <w:jc w:val="both"/>
        <w:rPr>
          <w:rFonts w:ascii="Arial" w:hAnsi="Arial" w:cs="Arial"/>
          <w:sz w:val="24"/>
          <w:szCs w:val="24"/>
        </w:rPr>
      </w:pPr>
    </w:p>
    <w:p w:rsidR="00A33ABB" w:rsidRPr="00A33ABB" w:rsidRDefault="003C31B3" w:rsidP="00A33ABB">
      <w:pPr>
        <w:pStyle w:val="PlainText"/>
        <w:ind w:left="720"/>
        <w:rPr>
          <w:rFonts w:ascii="Arial" w:hAnsi="Arial" w:cs="Arial"/>
          <w:sz w:val="24"/>
          <w:szCs w:val="24"/>
        </w:rPr>
      </w:pPr>
      <w:r>
        <w:rPr>
          <w:rFonts w:ascii="Arial" w:hAnsi="Arial" w:cs="Arial"/>
          <w:sz w:val="24"/>
          <w:szCs w:val="24"/>
        </w:rPr>
        <w:t>Children Missing Education</w:t>
      </w:r>
      <w:r>
        <w:rPr>
          <w:rFonts w:ascii="Arial" w:hAnsi="Arial" w:cs="Arial"/>
          <w:sz w:val="24"/>
          <w:szCs w:val="24"/>
        </w:rPr>
        <w:tab/>
      </w:r>
      <w:r w:rsidR="00A33ABB" w:rsidRPr="00A33ABB">
        <w:rPr>
          <w:rFonts w:ascii="Arial" w:hAnsi="Arial" w:cs="Arial"/>
          <w:sz w:val="24"/>
          <w:szCs w:val="24"/>
        </w:rPr>
        <w:t>Pupil Access</w:t>
      </w:r>
    </w:p>
    <w:p w:rsidR="00A33ABB" w:rsidRPr="00A33ABB" w:rsidRDefault="00A33ABB" w:rsidP="00A33ABB">
      <w:pPr>
        <w:pStyle w:val="PlainText"/>
        <w:ind w:left="720"/>
        <w:rPr>
          <w:rFonts w:ascii="Arial" w:hAnsi="Arial" w:cs="Arial"/>
          <w:sz w:val="24"/>
          <w:szCs w:val="24"/>
        </w:rPr>
      </w:pPr>
      <w:r w:rsidRPr="00A33ABB">
        <w:rPr>
          <w:rFonts w:ascii="Arial" w:hAnsi="Arial" w:cs="Arial"/>
          <w:sz w:val="24"/>
          <w:szCs w:val="24"/>
        </w:rPr>
        <w:t>Pupil Attendance Support</w:t>
      </w:r>
      <w:r w:rsidRPr="00A33ABB">
        <w:rPr>
          <w:rFonts w:ascii="Arial" w:hAnsi="Arial" w:cs="Arial"/>
          <w:sz w:val="24"/>
          <w:szCs w:val="24"/>
        </w:rPr>
        <w:tab/>
      </w:r>
      <w:r w:rsidRPr="00A33ABB">
        <w:rPr>
          <w:rFonts w:ascii="Arial" w:hAnsi="Arial" w:cs="Arial"/>
          <w:sz w:val="24"/>
          <w:szCs w:val="24"/>
        </w:rPr>
        <w:tab/>
        <w:t>Elective Home Education</w:t>
      </w:r>
    </w:p>
    <w:p w:rsidR="00A33ABB" w:rsidRPr="00A33ABB" w:rsidRDefault="00A33ABB" w:rsidP="00A33ABB">
      <w:pPr>
        <w:pStyle w:val="PlainText"/>
        <w:ind w:left="720"/>
        <w:rPr>
          <w:rFonts w:ascii="Arial" w:hAnsi="Arial" w:cs="Arial"/>
          <w:sz w:val="24"/>
          <w:szCs w:val="24"/>
        </w:rPr>
      </w:pPr>
      <w:r w:rsidRPr="00A33ABB">
        <w:rPr>
          <w:rFonts w:ascii="Arial" w:hAnsi="Arial" w:cs="Arial"/>
          <w:sz w:val="24"/>
          <w:szCs w:val="24"/>
        </w:rPr>
        <w:t>Young People's Service</w:t>
      </w:r>
      <w:r w:rsidRPr="00A33ABB">
        <w:rPr>
          <w:rFonts w:ascii="Arial" w:hAnsi="Arial" w:cs="Arial"/>
          <w:sz w:val="24"/>
          <w:szCs w:val="24"/>
        </w:rPr>
        <w:tab/>
      </w:r>
      <w:r w:rsidRPr="00A33ABB">
        <w:rPr>
          <w:rFonts w:ascii="Arial" w:hAnsi="Arial" w:cs="Arial"/>
          <w:sz w:val="24"/>
          <w:szCs w:val="24"/>
        </w:rPr>
        <w:tab/>
        <w:t>GRT Achievement Team</w:t>
      </w:r>
    </w:p>
    <w:p w:rsidR="00A33ABB" w:rsidRPr="00A33ABB" w:rsidRDefault="00A33ABB" w:rsidP="00A33ABB">
      <w:pPr>
        <w:pStyle w:val="PlainText"/>
        <w:ind w:left="720"/>
        <w:rPr>
          <w:rFonts w:ascii="Arial" w:hAnsi="Arial" w:cs="Arial"/>
          <w:sz w:val="24"/>
          <w:szCs w:val="24"/>
        </w:rPr>
      </w:pPr>
    </w:p>
    <w:p w:rsidR="00A33ABB" w:rsidRPr="00A33ABB" w:rsidRDefault="00A33ABB" w:rsidP="000116FB">
      <w:pPr>
        <w:pStyle w:val="PlainText"/>
        <w:jc w:val="both"/>
        <w:rPr>
          <w:rFonts w:ascii="Arial" w:hAnsi="Arial" w:cs="Arial"/>
          <w:sz w:val="24"/>
          <w:szCs w:val="24"/>
        </w:rPr>
      </w:pPr>
      <w:r w:rsidRPr="00A33ABB">
        <w:rPr>
          <w:rFonts w:ascii="Arial" w:hAnsi="Arial" w:cs="Arial"/>
          <w:sz w:val="24"/>
          <w:szCs w:val="24"/>
        </w:rPr>
        <w:t>Intelligence about GRT children who have disappeared from school rolls or elected for home education is shared between all these teams.  Children who or not on home education and not on school roll are then immediately referred to the Children Missing Education team and their cases are reviewed and progressed at regular joint meetings between CME, Pupil Access and GRT Achievement.</w:t>
      </w:r>
    </w:p>
    <w:p w:rsidR="00A33ABB" w:rsidRPr="00A33ABB" w:rsidRDefault="00A33ABB" w:rsidP="000116FB">
      <w:pPr>
        <w:pStyle w:val="PlainText"/>
        <w:jc w:val="both"/>
        <w:rPr>
          <w:rFonts w:ascii="Arial" w:hAnsi="Arial" w:cs="Arial"/>
          <w:sz w:val="24"/>
          <w:szCs w:val="24"/>
        </w:rPr>
      </w:pPr>
    </w:p>
    <w:p w:rsidR="00A33ABB" w:rsidRPr="00A33ABB" w:rsidRDefault="00A33ABB" w:rsidP="000116FB">
      <w:pPr>
        <w:pStyle w:val="PlainText"/>
        <w:jc w:val="both"/>
        <w:rPr>
          <w:rFonts w:ascii="Arial" w:hAnsi="Arial" w:cs="Arial"/>
          <w:sz w:val="24"/>
          <w:szCs w:val="24"/>
        </w:rPr>
      </w:pPr>
      <w:r w:rsidRPr="00A33ABB">
        <w:rPr>
          <w:rFonts w:ascii="Arial" w:hAnsi="Arial" w:cs="Arial"/>
          <w:sz w:val="24"/>
          <w:szCs w:val="24"/>
        </w:rPr>
        <w:t>Schools and colleges are increasingly taking the lead in developing approaches to engaging GRT young people</w:t>
      </w:r>
      <w:r w:rsidRPr="002F0FFF">
        <w:rPr>
          <w:rFonts w:ascii="Arial" w:hAnsi="Arial" w:cs="Arial"/>
          <w:sz w:val="24"/>
          <w:szCs w:val="24"/>
        </w:rPr>
        <w:t xml:space="preserve"> before they</w:t>
      </w:r>
      <w:r w:rsidRPr="00A33ABB">
        <w:rPr>
          <w:rFonts w:ascii="Arial" w:hAnsi="Arial" w:cs="Arial"/>
          <w:sz w:val="24"/>
          <w:szCs w:val="24"/>
        </w:rPr>
        <w:t xml:space="preserve"> join the roll of a school.  Most Lancashire schools with numbers of GRT pupils belong to the Lancashire Schools GRT Achievement Network and have the opportunity to attend network meetings to share good practice.  Developing new strategies to engage GRT children not participating in a school setting is a key agenda for the network.</w:t>
      </w:r>
    </w:p>
    <w:p w:rsidR="00A33ABB" w:rsidRPr="00A33ABB" w:rsidRDefault="00A33ABB" w:rsidP="000116FB">
      <w:pPr>
        <w:pStyle w:val="PlainText"/>
        <w:jc w:val="both"/>
        <w:rPr>
          <w:rFonts w:ascii="Arial" w:hAnsi="Arial" w:cs="Arial"/>
          <w:sz w:val="24"/>
          <w:szCs w:val="24"/>
        </w:rPr>
      </w:pPr>
    </w:p>
    <w:p w:rsidR="00A33ABB" w:rsidRPr="00A33ABB" w:rsidRDefault="00A33ABB" w:rsidP="000116FB">
      <w:pPr>
        <w:pStyle w:val="PlainText"/>
        <w:jc w:val="both"/>
        <w:rPr>
          <w:rFonts w:ascii="Arial" w:hAnsi="Arial" w:cs="Arial"/>
          <w:sz w:val="24"/>
          <w:szCs w:val="24"/>
        </w:rPr>
      </w:pPr>
      <w:r w:rsidRPr="00A33ABB">
        <w:rPr>
          <w:rFonts w:ascii="Arial" w:hAnsi="Arial" w:cs="Arial"/>
          <w:sz w:val="24"/>
          <w:szCs w:val="24"/>
        </w:rPr>
        <w:t>Because of the high quality of trust between the service and GRT families, parents on the whole are happy to sustain engagement with the service, even when they have elected for home education. The GRT Achievement Service attempts to continue to track progress of GRT young people when they are not in school through voluntary engagement of families whose children are registered for Home Education.</w:t>
      </w:r>
    </w:p>
    <w:p w:rsidR="002F0FFF" w:rsidRDefault="002F0FFF" w:rsidP="00A33ABB">
      <w:pPr>
        <w:rPr>
          <w:b/>
          <w:szCs w:val="24"/>
          <w:u w:val="single"/>
        </w:rPr>
      </w:pPr>
    </w:p>
    <w:p w:rsidR="00A33ABB" w:rsidRDefault="00A33ABB" w:rsidP="00A33ABB">
      <w:pPr>
        <w:rPr>
          <w:b/>
          <w:szCs w:val="24"/>
        </w:rPr>
      </w:pPr>
      <w:r w:rsidRPr="00E54CFB">
        <w:rPr>
          <w:b/>
          <w:szCs w:val="24"/>
        </w:rPr>
        <w:t xml:space="preserve">Local Authority activity with GRT children </w:t>
      </w:r>
      <w:r w:rsidR="002F0FFF">
        <w:rPr>
          <w:b/>
          <w:szCs w:val="24"/>
        </w:rPr>
        <w:t xml:space="preserve">not participating in education in a school setting </w:t>
      </w:r>
      <w:r w:rsidRPr="00E54CFB">
        <w:rPr>
          <w:b/>
          <w:szCs w:val="24"/>
        </w:rPr>
        <w:t>in the last academic year</w:t>
      </w:r>
    </w:p>
    <w:p w:rsidR="002F0FFF" w:rsidRPr="00981ECB" w:rsidRDefault="002F0FFF" w:rsidP="00A33ABB">
      <w:pPr>
        <w:rPr>
          <w:b/>
          <w:szCs w:val="24"/>
          <w:u w:val="single"/>
        </w:rPr>
      </w:pPr>
    </w:p>
    <w:p w:rsidR="00A33ABB" w:rsidRPr="002F0FFF" w:rsidRDefault="00304DBA" w:rsidP="00A33ABB">
      <w:pPr>
        <w:rPr>
          <w:szCs w:val="24"/>
        </w:rPr>
      </w:pPr>
      <w:r>
        <w:rPr>
          <w:noProof/>
        </w:rPr>
        <w:pict>
          <v:shape id="_x0000_s1027" type="#_x0000_t202" style="position:absolute;margin-left:346.8pt;margin-top:7.85pt;width:145.95pt;height:289.75pt;z-index:251658240;mso-width-relative:margin;mso-height-relative:margin">
            <v:textbox style="mso-next-textbox:#_x0000_s1027">
              <w:txbxContent>
                <w:p w:rsidR="00E54CFB" w:rsidRDefault="00E54CFB" w:rsidP="00A33ABB">
                  <w:r>
                    <w:t>The following services now work together with schools to engage GRT young people in education:</w:t>
                  </w:r>
                </w:p>
                <w:p w:rsidR="00E54CFB" w:rsidRDefault="00E54CFB" w:rsidP="00A33ABB">
                  <w:pPr>
                    <w:pStyle w:val="ListParagraph"/>
                    <w:numPr>
                      <w:ilvl w:val="0"/>
                      <w:numId w:val="15"/>
                    </w:numPr>
                  </w:pPr>
                  <w:r>
                    <w:t>Children Missing Education</w:t>
                  </w:r>
                </w:p>
                <w:p w:rsidR="00E54CFB" w:rsidRDefault="00E54CFB" w:rsidP="00A33ABB">
                  <w:pPr>
                    <w:pStyle w:val="ListParagraph"/>
                    <w:numPr>
                      <w:ilvl w:val="0"/>
                      <w:numId w:val="15"/>
                    </w:numPr>
                  </w:pPr>
                  <w:r>
                    <w:t>Pupil Attendance Support Team</w:t>
                  </w:r>
                </w:p>
                <w:p w:rsidR="00E54CFB" w:rsidRDefault="00E54CFB" w:rsidP="00A33ABB">
                  <w:pPr>
                    <w:pStyle w:val="ListParagraph"/>
                    <w:numPr>
                      <w:ilvl w:val="0"/>
                      <w:numId w:val="15"/>
                    </w:numPr>
                  </w:pPr>
                  <w:r>
                    <w:t>Elective Home Education Team</w:t>
                  </w:r>
                </w:p>
                <w:p w:rsidR="00E54CFB" w:rsidRDefault="00E54CFB" w:rsidP="00A33ABB">
                  <w:pPr>
                    <w:pStyle w:val="ListParagraph"/>
                    <w:numPr>
                      <w:ilvl w:val="0"/>
                      <w:numId w:val="15"/>
                    </w:numPr>
                  </w:pPr>
                  <w:r>
                    <w:t>Young People's Service</w:t>
                  </w:r>
                </w:p>
                <w:p w:rsidR="00E54CFB" w:rsidRDefault="00E54CFB" w:rsidP="00A33ABB">
                  <w:r>
                    <w:t>Through this network, contact is maintained with around 95% of GRT children not participating in a school</w:t>
                  </w:r>
                </w:p>
              </w:txbxContent>
            </v:textbox>
          </v:shape>
        </w:pict>
      </w:r>
      <w:r w:rsidR="00A33ABB" w:rsidRPr="002F0FFF">
        <w:rPr>
          <w:noProof/>
          <w:szCs w:val="24"/>
        </w:rPr>
        <w:t>Activity in</w:t>
      </w:r>
      <w:r w:rsidR="00A33ABB" w:rsidRPr="002F0FFF">
        <w:rPr>
          <w:szCs w:val="24"/>
        </w:rPr>
        <w:t xml:space="preserve"> Academic Year 2012-13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701"/>
      </w:tblGrid>
      <w:tr w:rsidR="00A33ABB" w:rsidRPr="002270B2" w:rsidTr="00B94C28">
        <w:trPr>
          <w:trHeight w:val="617"/>
        </w:trPr>
        <w:tc>
          <w:tcPr>
            <w:tcW w:w="4928" w:type="dxa"/>
          </w:tcPr>
          <w:p w:rsidR="00A33ABB" w:rsidRPr="00B94C28" w:rsidRDefault="00A33ABB" w:rsidP="00A33ABB">
            <w:pPr>
              <w:rPr>
                <w:szCs w:val="24"/>
              </w:rPr>
            </w:pPr>
            <w:r w:rsidRPr="00B94C28">
              <w:rPr>
                <w:szCs w:val="24"/>
              </w:rPr>
              <w:t>Number of Year 7 children who failed to transfer</w:t>
            </w:r>
          </w:p>
        </w:tc>
        <w:tc>
          <w:tcPr>
            <w:tcW w:w="1701" w:type="dxa"/>
            <w:vAlign w:val="center"/>
          </w:tcPr>
          <w:p w:rsidR="00A33ABB" w:rsidRPr="00B94C28" w:rsidRDefault="00A33ABB" w:rsidP="00B94C28">
            <w:pPr>
              <w:jc w:val="center"/>
              <w:rPr>
                <w:szCs w:val="24"/>
              </w:rPr>
            </w:pPr>
            <w:r w:rsidRPr="00B94C28">
              <w:rPr>
                <w:szCs w:val="24"/>
              </w:rPr>
              <w:t>22</w:t>
            </w:r>
          </w:p>
        </w:tc>
      </w:tr>
      <w:tr w:rsidR="00A33ABB" w:rsidRPr="002270B2" w:rsidTr="00B94C28">
        <w:trPr>
          <w:trHeight w:val="617"/>
        </w:trPr>
        <w:tc>
          <w:tcPr>
            <w:tcW w:w="4928" w:type="dxa"/>
          </w:tcPr>
          <w:p w:rsidR="00A33ABB" w:rsidRPr="00B94C28" w:rsidRDefault="00A33ABB" w:rsidP="00A33ABB">
            <w:pPr>
              <w:rPr>
                <w:szCs w:val="24"/>
              </w:rPr>
            </w:pPr>
            <w:r w:rsidRPr="00B94C28">
              <w:rPr>
                <w:szCs w:val="24"/>
              </w:rPr>
              <w:t>Number of Year 7 children elected for Home Education</w:t>
            </w:r>
          </w:p>
        </w:tc>
        <w:tc>
          <w:tcPr>
            <w:tcW w:w="1701" w:type="dxa"/>
            <w:vAlign w:val="center"/>
          </w:tcPr>
          <w:p w:rsidR="00A33ABB" w:rsidRPr="00B94C28" w:rsidRDefault="00A33ABB" w:rsidP="00B94C28">
            <w:pPr>
              <w:jc w:val="center"/>
              <w:rPr>
                <w:szCs w:val="24"/>
              </w:rPr>
            </w:pPr>
            <w:r w:rsidRPr="00B94C28">
              <w:rPr>
                <w:szCs w:val="24"/>
              </w:rPr>
              <w:t>21</w:t>
            </w:r>
          </w:p>
        </w:tc>
      </w:tr>
      <w:tr w:rsidR="00A33ABB" w:rsidRPr="002270B2" w:rsidTr="00B94C28">
        <w:trPr>
          <w:trHeight w:val="648"/>
        </w:trPr>
        <w:tc>
          <w:tcPr>
            <w:tcW w:w="4928" w:type="dxa"/>
          </w:tcPr>
          <w:p w:rsidR="00A33ABB" w:rsidRPr="00B94C28" w:rsidRDefault="00A33ABB" w:rsidP="00A33ABB">
            <w:pPr>
              <w:rPr>
                <w:szCs w:val="24"/>
              </w:rPr>
            </w:pPr>
            <w:r w:rsidRPr="00B94C28">
              <w:rPr>
                <w:szCs w:val="24"/>
              </w:rPr>
              <w:t>Number of children Year 7 to 11 referred to Children Missing Education</w:t>
            </w:r>
          </w:p>
        </w:tc>
        <w:tc>
          <w:tcPr>
            <w:tcW w:w="1701" w:type="dxa"/>
            <w:vAlign w:val="center"/>
          </w:tcPr>
          <w:p w:rsidR="00A33ABB" w:rsidRPr="00B94C28" w:rsidRDefault="00A33ABB" w:rsidP="00B94C28">
            <w:pPr>
              <w:jc w:val="center"/>
              <w:rPr>
                <w:szCs w:val="24"/>
              </w:rPr>
            </w:pPr>
            <w:r w:rsidRPr="00B94C28">
              <w:rPr>
                <w:szCs w:val="24"/>
              </w:rPr>
              <w:t>16</w:t>
            </w:r>
          </w:p>
        </w:tc>
      </w:tr>
      <w:tr w:rsidR="00A33ABB" w:rsidRPr="002270B2" w:rsidTr="00B94C28">
        <w:trPr>
          <w:trHeight w:val="617"/>
        </w:trPr>
        <w:tc>
          <w:tcPr>
            <w:tcW w:w="4928" w:type="dxa"/>
          </w:tcPr>
          <w:p w:rsidR="00A33ABB" w:rsidRPr="00B94C28" w:rsidRDefault="00A33ABB" w:rsidP="00A33ABB">
            <w:pPr>
              <w:rPr>
                <w:szCs w:val="24"/>
              </w:rPr>
            </w:pPr>
            <w:r w:rsidRPr="00B94C28">
              <w:rPr>
                <w:szCs w:val="24"/>
              </w:rPr>
              <w:t>Number of children Year 7 to 11 returned to school rolls</w:t>
            </w:r>
          </w:p>
        </w:tc>
        <w:tc>
          <w:tcPr>
            <w:tcW w:w="1701" w:type="dxa"/>
            <w:vAlign w:val="center"/>
          </w:tcPr>
          <w:p w:rsidR="00A33ABB" w:rsidRPr="00B94C28" w:rsidRDefault="00A33ABB" w:rsidP="00B94C28">
            <w:pPr>
              <w:jc w:val="center"/>
              <w:rPr>
                <w:szCs w:val="24"/>
              </w:rPr>
            </w:pPr>
            <w:r w:rsidRPr="00B94C28">
              <w:rPr>
                <w:szCs w:val="24"/>
              </w:rPr>
              <w:t>14</w:t>
            </w:r>
          </w:p>
        </w:tc>
      </w:tr>
      <w:tr w:rsidR="00A33ABB" w:rsidRPr="002270B2" w:rsidTr="00B94C28">
        <w:trPr>
          <w:trHeight w:val="617"/>
        </w:trPr>
        <w:tc>
          <w:tcPr>
            <w:tcW w:w="4928" w:type="dxa"/>
          </w:tcPr>
          <w:p w:rsidR="00A33ABB" w:rsidRPr="00B94C28" w:rsidRDefault="00A33ABB" w:rsidP="00A33ABB">
            <w:pPr>
              <w:rPr>
                <w:szCs w:val="24"/>
              </w:rPr>
            </w:pPr>
            <w:r w:rsidRPr="00B94C28">
              <w:rPr>
                <w:szCs w:val="24"/>
              </w:rPr>
              <w:t>Number of children CME or Home Education leaving Lancashire area</w:t>
            </w:r>
          </w:p>
        </w:tc>
        <w:tc>
          <w:tcPr>
            <w:tcW w:w="1701" w:type="dxa"/>
            <w:vAlign w:val="center"/>
          </w:tcPr>
          <w:p w:rsidR="00A33ABB" w:rsidRPr="00B94C28" w:rsidRDefault="00A33ABB" w:rsidP="00B94C28">
            <w:pPr>
              <w:jc w:val="center"/>
              <w:rPr>
                <w:szCs w:val="24"/>
              </w:rPr>
            </w:pPr>
            <w:r w:rsidRPr="00B94C28">
              <w:rPr>
                <w:szCs w:val="24"/>
              </w:rPr>
              <w:t>8</w:t>
            </w:r>
          </w:p>
        </w:tc>
      </w:tr>
      <w:tr w:rsidR="00A33ABB" w:rsidRPr="002270B2" w:rsidTr="00B94C28">
        <w:trPr>
          <w:trHeight w:val="617"/>
        </w:trPr>
        <w:tc>
          <w:tcPr>
            <w:tcW w:w="4928" w:type="dxa"/>
          </w:tcPr>
          <w:p w:rsidR="00A33ABB" w:rsidRPr="00B94C28" w:rsidRDefault="00A33ABB" w:rsidP="00A33ABB">
            <w:pPr>
              <w:rPr>
                <w:szCs w:val="24"/>
              </w:rPr>
            </w:pPr>
            <w:r w:rsidRPr="00B94C28">
              <w:rPr>
                <w:szCs w:val="24"/>
              </w:rPr>
              <w:t>Number of children Year 7 to 11 referred to EHE team</w:t>
            </w:r>
          </w:p>
        </w:tc>
        <w:tc>
          <w:tcPr>
            <w:tcW w:w="1701" w:type="dxa"/>
            <w:vAlign w:val="center"/>
          </w:tcPr>
          <w:p w:rsidR="00A33ABB" w:rsidRPr="00B94C28" w:rsidRDefault="00A33ABB" w:rsidP="00B94C28">
            <w:pPr>
              <w:jc w:val="center"/>
              <w:rPr>
                <w:szCs w:val="24"/>
              </w:rPr>
            </w:pPr>
            <w:r w:rsidRPr="00B94C28">
              <w:rPr>
                <w:szCs w:val="24"/>
              </w:rPr>
              <w:t>33</w:t>
            </w:r>
          </w:p>
        </w:tc>
      </w:tr>
      <w:tr w:rsidR="00A33ABB" w:rsidRPr="002270B2" w:rsidTr="00B94C28">
        <w:trPr>
          <w:trHeight w:val="980"/>
        </w:trPr>
        <w:tc>
          <w:tcPr>
            <w:tcW w:w="4928" w:type="dxa"/>
          </w:tcPr>
          <w:p w:rsidR="00A33ABB" w:rsidRPr="00B94C28" w:rsidRDefault="00A33ABB" w:rsidP="00A33ABB">
            <w:pPr>
              <w:rPr>
                <w:szCs w:val="24"/>
              </w:rPr>
            </w:pPr>
            <w:r w:rsidRPr="00B94C28">
              <w:rPr>
                <w:szCs w:val="24"/>
              </w:rPr>
              <w:t>Number referred to Young People's Service for Targetted Youth Support</w:t>
            </w:r>
          </w:p>
        </w:tc>
        <w:tc>
          <w:tcPr>
            <w:tcW w:w="1701" w:type="dxa"/>
            <w:vAlign w:val="center"/>
          </w:tcPr>
          <w:p w:rsidR="00A33ABB" w:rsidRPr="00B94C28" w:rsidRDefault="00A33ABB" w:rsidP="00B94C28">
            <w:pPr>
              <w:jc w:val="center"/>
              <w:rPr>
                <w:szCs w:val="24"/>
              </w:rPr>
            </w:pPr>
            <w:r w:rsidRPr="00B94C28">
              <w:rPr>
                <w:szCs w:val="24"/>
              </w:rPr>
              <w:t>24</w:t>
            </w:r>
          </w:p>
        </w:tc>
      </w:tr>
      <w:tr w:rsidR="00A33ABB" w:rsidRPr="002270B2" w:rsidTr="00B94C28">
        <w:trPr>
          <w:trHeight w:val="648"/>
        </w:trPr>
        <w:tc>
          <w:tcPr>
            <w:tcW w:w="4928" w:type="dxa"/>
          </w:tcPr>
          <w:p w:rsidR="00A33ABB" w:rsidRPr="00B94C28" w:rsidRDefault="00A33ABB" w:rsidP="00A33ABB">
            <w:pPr>
              <w:rPr>
                <w:szCs w:val="24"/>
              </w:rPr>
            </w:pPr>
            <w:r w:rsidRPr="00B94C28">
              <w:rPr>
                <w:szCs w:val="24"/>
              </w:rPr>
              <w:t>Number of children Year 10 and 11 on Home Education supported to access college placement or training</w:t>
            </w:r>
          </w:p>
        </w:tc>
        <w:tc>
          <w:tcPr>
            <w:tcW w:w="1701" w:type="dxa"/>
            <w:vAlign w:val="center"/>
          </w:tcPr>
          <w:p w:rsidR="00A33ABB" w:rsidRPr="00B94C28" w:rsidRDefault="00A33ABB" w:rsidP="00B94C28">
            <w:pPr>
              <w:jc w:val="center"/>
              <w:rPr>
                <w:szCs w:val="24"/>
              </w:rPr>
            </w:pPr>
            <w:r w:rsidRPr="00B94C28">
              <w:rPr>
                <w:szCs w:val="24"/>
              </w:rPr>
              <w:t>12</w:t>
            </w:r>
          </w:p>
        </w:tc>
      </w:tr>
    </w:tbl>
    <w:p w:rsidR="00A33ABB" w:rsidRDefault="00A33ABB" w:rsidP="00A33ABB">
      <w:pPr>
        <w:rPr>
          <w:szCs w:val="24"/>
        </w:rPr>
      </w:pPr>
    </w:p>
    <w:p w:rsidR="00A33ABB" w:rsidRPr="00E54CFB" w:rsidRDefault="00A33ABB" w:rsidP="000116FB">
      <w:pPr>
        <w:pStyle w:val="PlainText"/>
        <w:jc w:val="both"/>
        <w:rPr>
          <w:rFonts w:ascii="Arial" w:hAnsi="Arial" w:cs="Arial"/>
          <w:sz w:val="24"/>
          <w:szCs w:val="24"/>
        </w:rPr>
      </w:pPr>
      <w:r w:rsidRPr="00E54CFB">
        <w:rPr>
          <w:rFonts w:ascii="Arial" w:hAnsi="Arial" w:cs="Arial"/>
          <w:sz w:val="24"/>
          <w:szCs w:val="24"/>
        </w:rPr>
        <w:lastRenderedPageBreak/>
        <w:t>All GRT children – whether in school or not – are tracked as a 'Virtual School' with the emphasis on providing support to maintain education progress.  In practice, this means signposting parents to existing learning opportunities and developing new engagement activities in partnership with schools.  School involvement is crucial as it maintains the connection with formal schooling and increases the likelihood of return to school roll.</w:t>
      </w:r>
    </w:p>
    <w:p w:rsidR="00A33ABB" w:rsidRPr="00E54CFB" w:rsidRDefault="00A33ABB" w:rsidP="000116FB">
      <w:pPr>
        <w:pStyle w:val="PlainText"/>
        <w:jc w:val="both"/>
        <w:rPr>
          <w:rFonts w:ascii="Arial" w:hAnsi="Arial" w:cs="Arial"/>
          <w:sz w:val="24"/>
          <w:szCs w:val="24"/>
        </w:rPr>
      </w:pPr>
    </w:p>
    <w:p w:rsidR="00A33ABB" w:rsidRPr="00E54CFB" w:rsidRDefault="00A33ABB" w:rsidP="000116FB">
      <w:pPr>
        <w:pStyle w:val="PlainText"/>
        <w:jc w:val="both"/>
        <w:rPr>
          <w:rFonts w:ascii="Arial" w:hAnsi="Arial" w:cs="Arial"/>
          <w:sz w:val="24"/>
          <w:szCs w:val="24"/>
        </w:rPr>
      </w:pPr>
      <w:r w:rsidRPr="00E54CFB">
        <w:rPr>
          <w:rFonts w:ascii="Arial" w:hAnsi="Arial" w:cs="Arial"/>
          <w:sz w:val="24"/>
          <w:szCs w:val="24"/>
        </w:rPr>
        <w:t>A number of our key secondary schools are actively interested in this work as it enables them to have dialogue with parents and to display their support for these children even though the parents have not chosen education in a school based setting.  Whilst the children are on home education, there are no concerns about impact on school performance and so there is a window of opportunity to engage GRT children in structured learning.</w:t>
      </w:r>
    </w:p>
    <w:p w:rsidR="00A33ABB" w:rsidRPr="00E54CFB" w:rsidRDefault="00A33ABB" w:rsidP="00A33ABB">
      <w:pPr>
        <w:pStyle w:val="PlainText"/>
        <w:rPr>
          <w:rFonts w:ascii="Arial" w:hAnsi="Arial" w:cs="Arial"/>
          <w:sz w:val="24"/>
          <w:szCs w:val="24"/>
        </w:rPr>
      </w:pPr>
    </w:p>
    <w:p w:rsidR="00A33ABB" w:rsidRPr="00E54CFB" w:rsidRDefault="00A33ABB" w:rsidP="00A33ABB">
      <w:pPr>
        <w:pStyle w:val="PlainText"/>
        <w:rPr>
          <w:rFonts w:ascii="Arial" w:hAnsi="Arial" w:cs="Arial"/>
          <w:sz w:val="24"/>
          <w:szCs w:val="24"/>
        </w:rPr>
      </w:pPr>
      <w:r w:rsidRPr="00E54CFB">
        <w:rPr>
          <w:rFonts w:ascii="Arial" w:hAnsi="Arial" w:cs="Arial"/>
          <w:sz w:val="24"/>
          <w:szCs w:val="24"/>
        </w:rPr>
        <w:t>Successful initiatives over the past two years are as follows:</w:t>
      </w:r>
    </w:p>
    <w:p w:rsidR="00A33ABB" w:rsidRPr="00E54CFB" w:rsidRDefault="00A33ABB" w:rsidP="00A33ABB">
      <w:pPr>
        <w:pStyle w:val="PlainText"/>
        <w:ind w:left="720"/>
        <w:rPr>
          <w:rFonts w:ascii="Arial" w:hAnsi="Arial" w:cs="Arial"/>
          <w:sz w:val="24"/>
          <w:szCs w:val="24"/>
        </w:rPr>
      </w:pPr>
    </w:p>
    <w:p w:rsidR="00A33ABB" w:rsidRPr="00E54CFB" w:rsidRDefault="00A33ABB" w:rsidP="00A33ABB">
      <w:pPr>
        <w:pStyle w:val="PlainText"/>
        <w:numPr>
          <w:ilvl w:val="0"/>
          <w:numId w:val="14"/>
        </w:numPr>
        <w:rPr>
          <w:rFonts w:ascii="Arial" w:hAnsi="Arial" w:cs="Arial"/>
          <w:sz w:val="24"/>
          <w:szCs w:val="24"/>
        </w:rPr>
      </w:pPr>
      <w:r w:rsidRPr="00E54CFB">
        <w:rPr>
          <w:rFonts w:ascii="Arial" w:hAnsi="Arial" w:cs="Arial"/>
          <w:sz w:val="24"/>
          <w:szCs w:val="24"/>
        </w:rPr>
        <w:t>Access-2-Learning Groups</w:t>
      </w:r>
    </w:p>
    <w:p w:rsidR="00A33ABB" w:rsidRPr="00E54CFB" w:rsidRDefault="00A33ABB" w:rsidP="00A33ABB">
      <w:pPr>
        <w:pStyle w:val="PlainText"/>
        <w:ind w:left="720"/>
        <w:rPr>
          <w:rFonts w:ascii="Arial" w:hAnsi="Arial" w:cs="Arial"/>
          <w:sz w:val="24"/>
          <w:szCs w:val="24"/>
        </w:rPr>
      </w:pPr>
      <w:r w:rsidRPr="00E54CFB">
        <w:rPr>
          <w:rFonts w:ascii="Arial" w:hAnsi="Arial" w:cs="Arial"/>
          <w:sz w:val="24"/>
          <w:szCs w:val="24"/>
        </w:rPr>
        <w:t>Voluntary access, structured learning group run for 2 hours during the school day</w:t>
      </w:r>
      <w:r w:rsidR="00E54CFB">
        <w:rPr>
          <w:rFonts w:ascii="Arial" w:hAnsi="Arial" w:cs="Arial"/>
          <w:sz w:val="24"/>
          <w:szCs w:val="24"/>
        </w:rPr>
        <w:t xml:space="preserve">. </w:t>
      </w:r>
      <w:r w:rsidRPr="00E54CFB">
        <w:rPr>
          <w:rFonts w:ascii="Arial" w:hAnsi="Arial" w:cs="Arial"/>
          <w:sz w:val="24"/>
          <w:szCs w:val="24"/>
        </w:rPr>
        <w:t>Over 30 GRT secondary young people on home education attended and made good progress at the group;</w:t>
      </w:r>
    </w:p>
    <w:p w:rsidR="00A33ABB" w:rsidRPr="00E54CFB" w:rsidRDefault="00A33ABB" w:rsidP="00A33ABB">
      <w:pPr>
        <w:pStyle w:val="PlainText"/>
        <w:rPr>
          <w:rFonts w:ascii="Arial" w:hAnsi="Arial" w:cs="Arial"/>
          <w:sz w:val="24"/>
          <w:szCs w:val="24"/>
        </w:rPr>
      </w:pPr>
    </w:p>
    <w:p w:rsidR="00A33ABB" w:rsidRPr="00E54CFB" w:rsidRDefault="00A33ABB" w:rsidP="00A33ABB">
      <w:pPr>
        <w:pStyle w:val="PlainText"/>
        <w:numPr>
          <w:ilvl w:val="0"/>
          <w:numId w:val="14"/>
        </w:numPr>
        <w:rPr>
          <w:rFonts w:ascii="Arial" w:hAnsi="Arial" w:cs="Arial"/>
          <w:sz w:val="24"/>
          <w:szCs w:val="24"/>
        </w:rPr>
      </w:pPr>
      <w:r w:rsidRPr="00E54CFB">
        <w:rPr>
          <w:rFonts w:ascii="Arial" w:hAnsi="Arial" w:cs="Arial"/>
          <w:sz w:val="24"/>
          <w:szCs w:val="24"/>
        </w:rPr>
        <w:t>e-Distance Learning</w:t>
      </w:r>
    </w:p>
    <w:p w:rsidR="00A33ABB" w:rsidRPr="00E54CFB" w:rsidRDefault="00E54CFB" w:rsidP="00A33ABB">
      <w:pPr>
        <w:pStyle w:val="PlainText"/>
        <w:ind w:left="720"/>
        <w:rPr>
          <w:rFonts w:ascii="Arial" w:hAnsi="Arial" w:cs="Arial"/>
          <w:sz w:val="24"/>
          <w:szCs w:val="24"/>
        </w:rPr>
      </w:pPr>
      <w:r>
        <w:rPr>
          <w:rFonts w:ascii="Arial" w:hAnsi="Arial" w:cs="Arial"/>
          <w:sz w:val="24"/>
          <w:szCs w:val="24"/>
        </w:rPr>
        <w:t>Small pilot to extend school</w:t>
      </w:r>
      <w:r w:rsidR="00A33ABB" w:rsidRPr="00E54CFB">
        <w:rPr>
          <w:rFonts w:ascii="Arial" w:hAnsi="Arial" w:cs="Arial"/>
          <w:sz w:val="24"/>
          <w:szCs w:val="24"/>
        </w:rPr>
        <w:t xml:space="preserve"> Moodle provision to make it accessible to a small number of GRT young people not on school roll;</w:t>
      </w:r>
    </w:p>
    <w:p w:rsidR="00A33ABB" w:rsidRPr="00E54CFB" w:rsidRDefault="00A33ABB" w:rsidP="00A33ABB">
      <w:pPr>
        <w:pStyle w:val="PlainText"/>
        <w:ind w:left="720"/>
        <w:rPr>
          <w:rFonts w:ascii="Arial" w:hAnsi="Arial" w:cs="Arial"/>
        </w:rPr>
      </w:pPr>
    </w:p>
    <w:p w:rsidR="00A33ABB" w:rsidRPr="00E54CFB" w:rsidRDefault="00A33ABB" w:rsidP="00A33ABB">
      <w:pPr>
        <w:rPr>
          <w:rFonts w:cs="Arial"/>
          <w:szCs w:val="24"/>
        </w:rPr>
      </w:pPr>
    </w:p>
    <w:p w:rsidR="00A33ABB" w:rsidRPr="00E54CFB" w:rsidRDefault="00A33ABB" w:rsidP="00A33ABB">
      <w:pPr>
        <w:pStyle w:val="PlainText"/>
        <w:numPr>
          <w:ilvl w:val="0"/>
          <w:numId w:val="14"/>
        </w:numPr>
        <w:rPr>
          <w:rFonts w:ascii="Arial" w:hAnsi="Arial" w:cs="Arial"/>
          <w:sz w:val="24"/>
          <w:szCs w:val="24"/>
        </w:rPr>
      </w:pPr>
      <w:r w:rsidRPr="00E54CFB">
        <w:rPr>
          <w:rFonts w:ascii="Arial" w:hAnsi="Arial" w:cs="Arial"/>
          <w:sz w:val="24"/>
          <w:szCs w:val="24"/>
        </w:rPr>
        <w:t>Primary Head/Secondary Head/Parent and pupil meeting</w:t>
      </w:r>
    </w:p>
    <w:p w:rsidR="00A33ABB" w:rsidRDefault="00A33ABB" w:rsidP="000116FB">
      <w:pPr>
        <w:pStyle w:val="PlainText"/>
        <w:ind w:left="720"/>
        <w:jc w:val="both"/>
        <w:rPr>
          <w:rFonts w:ascii="Arial" w:hAnsi="Arial" w:cs="Arial"/>
          <w:sz w:val="24"/>
          <w:szCs w:val="24"/>
        </w:rPr>
      </w:pPr>
      <w:r w:rsidRPr="00E54CFB">
        <w:rPr>
          <w:rFonts w:ascii="Arial" w:hAnsi="Arial" w:cs="Arial"/>
          <w:sz w:val="24"/>
          <w:szCs w:val="24"/>
        </w:rPr>
        <w:t>A single meeting involving the head-teachers of the secondary school and feeder primary, the parent and the Year 6 child who were adamant that the child would not attend secondary school.  The meeting secured all the reassurance the parent and child needed and allowed a tailored integration package to be constructed between the head-teachers.  The parent was convinced by the commitment to meeting the needs of her child that she saw in the meeting;</w:t>
      </w:r>
    </w:p>
    <w:p w:rsidR="002F0FFF" w:rsidRPr="002F0FFF" w:rsidRDefault="002F0FFF" w:rsidP="000116FB">
      <w:pPr>
        <w:pStyle w:val="PlainText"/>
        <w:ind w:left="720"/>
        <w:jc w:val="both"/>
        <w:rPr>
          <w:rFonts w:ascii="Arial" w:hAnsi="Arial" w:cs="Arial"/>
          <w:sz w:val="24"/>
          <w:szCs w:val="24"/>
        </w:rPr>
      </w:pPr>
    </w:p>
    <w:p w:rsidR="00A33ABB" w:rsidRPr="00E54CFB" w:rsidRDefault="00A33ABB" w:rsidP="00A33ABB">
      <w:pPr>
        <w:pStyle w:val="PlainText"/>
        <w:numPr>
          <w:ilvl w:val="0"/>
          <w:numId w:val="14"/>
        </w:numPr>
        <w:rPr>
          <w:rFonts w:ascii="Arial" w:hAnsi="Arial" w:cs="Arial"/>
          <w:sz w:val="24"/>
          <w:szCs w:val="24"/>
        </w:rPr>
      </w:pPr>
      <w:r w:rsidRPr="00E54CFB">
        <w:rPr>
          <w:rFonts w:ascii="Arial" w:hAnsi="Arial" w:cs="Arial"/>
          <w:sz w:val="24"/>
          <w:szCs w:val="24"/>
        </w:rPr>
        <w:t>Individual Pupil Plan</w:t>
      </w:r>
    </w:p>
    <w:p w:rsidR="00A33ABB" w:rsidRPr="00E54CFB" w:rsidRDefault="00A33ABB" w:rsidP="000116FB">
      <w:pPr>
        <w:pStyle w:val="PlainText"/>
        <w:ind w:left="720"/>
        <w:jc w:val="both"/>
        <w:rPr>
          <w:rFonts w:ascii="Arial" w:hAnsi="Arial" w:cs="Arial"/>
          <w:sz w:val="24"/>
          <w:szCs w:val="24"/>
        </w:rPr>
      </w:pPr>
      <w:r w:rsidRPr="00E54CFB">
        <w:rPr>
          <w:rFonts w:ascii="Arial" w:hAnsi="Arial" w:cs="Arial"/>
          <w:sz w:val="24"/>
          <w:szCs w:val="24"/>
        </w:rPr>
        <w:t>A voluntary shared education record is available for all GRT parents who do not chose a school based education setting.  The record gives details of prior attainment whilst at school, suggested opportunities and targets and requests consent to share information with Young People's Service.</w:t>
      </w:r>
    </w:p>
    <w:p w:rsidR="003C31B3" w:rsidRPr="00E54CFB" w:rsidRDefault="003C31B3" w:rsidP="003C31B3">
      <w:pPr>
        <w:pStyle w:val="ListParagraph"/>
        <w:spacing w:after="0" w:line="240" w:lineRule="auto"/>
        <w:ind w:left="0"/>
        <w:jc w:val="both"/>
        <w:rPr>
          <w:rFonts w:ascii="Arial" w:hAnsi="Arial" w:cs="Arial"/>
          <w:sz w:val="24"/>
          <w:szCs w:val="24"/>
        </w:rPr>
      </w:pPr>
    </w:p>
    <w:p w:rsidR="00A33ABB" w:rsidRPr="00E54CFB" w:rsidRDefault="00A33ABB" w:rsidP="000116FB">
      <w:pPr>
        <w:pStyle w:val="PlainText"/>
        <w:numPr>
          <w:ilvl w:val="0"/>
          <w:numId w:val="14"/>
        </w:numPr>
        <w:jc w:val="both"/>
        <w:rPr>
          <w:rFonts w:ascii="Arial" w:hAnsi="Arial" w:cs="Arial"/>
          <w:sz w:val="24"/>
          <w:szCs w:val="24"/>
        </w:rPr>
      </w:pPr>
      <w:r w:rsidRPr="00E54CFB">
        <w:rPr>
          <w:rFonts w:ascii="Arial" w:hAnsi="Arial" w:cs="Arial"/>
          <w:sz w:val="24"/>
          <w:szCs w:val="24"/>
        </w:rPr>
        <w:t>Practitioner Networks</w:t>
      </w:r>
    </w:p>
    <w:p w:rsidR="00A33ABB" w:rsidRPr="00E54CFB" w:rsidRDefault="00A33ABB" w:rsidP="000116FB">
      <w:pPr>
        <w:pStyle w:val="PlainText"/>
        <w:ind w:left="720"/>
        <w:jc w:val="both"/>
        <w:rPr>
          <w:rFonts w:ascii="Arial" w:hAnsi="Arial" w:cs="Arial"/>
          <w:sz w:val="24"/>
          <w:szCs w:val="24"/>
        </w:rPr>
      </w:pPr>
      <w:r w:rsidRPr="00E54CFB">
        <w:rPr>
          <w:rFonts w:ascii="Arial" w:hAnsi="Arial" w:cs="Arial"/>
          <w:sz w:val="24"/>
          <w:szCs w:val="24"/>
        </w:rPr>
        <w:t>The service has established a number of regular meetings in key areas which bring together practitioners is services working directly with GRT children and young people (including Children's Centres, health, police, Youth Offending Team, Young Peoples' Service, District Council leads on GRT issues and GRT voluntary groups) to share practice and co-ordinate activity.</w:t>
      </w:r>
    </w:p>
    <w:p w:rsidR="00FE0B66" w:rsidRDefault="00FE0B66" w:rsidP="00FE0B66">
      <w:pPr>
        <w:pStyle w:val="NoSpacing"/>
        <w:jc w:val="both"/>
        <w:rPr>
          <w:rFonts w:ascii="Arial" w:hAnsi="Arial" w:cs="Arial"/>
          <w:sz w:val="24"/>
          <w:szCs w:val="24"/>
        </w:rPr>
      </w:pPr>
    </w:p>
    <w:p w:rsidR="003C31B3" w:rsidRDefault="003C31B3" w:rsidP="00FE0B66">
      <w:pPr>
        <w:pStyle w:val="NoSpacing"/>
        <w:jc w:val="both"/>
        <w:rPr>
          <w:rFonts w:ascii="Arial" w:hAnsi="Arial" w:cs="Arial"/>
          <w:sz w:val="24"/>
          <w:szCs w:val="24"/>
        </w:rPr>
      </w:pPr>
    </w:p>
    <w:p w:rsidR="003C31B3" w:rsidRPr="003C3E49" w:rsidRDefault="003C31B3" w:rsidP="00FE0B66">
      <w:pPr>
        <w:pStyle w:val="NoSpacing"/>
        <w:jc w:val="both"/>
        <w:rPr>
          <w:rFonts w:ascii="Arial" w:hAnsi="Arial" w:cs="Arial"/>
          <w:sz w:val="24"/>
          <w:szCs w:val="24"/>
        </w:rPr>
      </w:pPr>
    </w:p>
    <w:p w:rsidR="00F227D7" w:rsidRDefault="003C31B3" w:rsidP="00E54CFB">
      <w:pPr>
        <w:numPr>
          <w:ilvl w:val="0"/>
          <w:numId w:val="13"/>
        </w:numPr>
        <w:rPr>
          <w:rFonts w:cs="Arial"/>
          <w:b/>
        </w:rPr>
      </w:pPr>
      <w:r>
        <w:rPr>
          <w:rFonts w:cs="Arial"/>
          <w:b/>
        </w:rPr>
        <w:lastRenderedPageBreak/>
        <w:t>Children Missing Education</w:t>
      </w:r>
      <w:r w:rsidR="00F227D7" w:rsidRPr="00F227D7">
        <w:rPr>
          <w:rFonts w:cs="Arial"/>
          <w:b/>
        </w:rPr>
        <w:t xml:space="preserve"> (CME)</w:t>
      </w:r>
    </w:p>
    <w:p w:rsidR="00E54CFB" w:rsidRPr="00F227D7" w:rsidRDefault="00E54CFB" w:rsidP="00F227D7">
      <w:pPr>
        <w:rPr>
          <w:rFonts w:cs="Arial"/>
          <w:b/>
        </w:rPr>
      </w:pPr>
    </w:p>
    <w:p w:rsidR="00D35E0E" w:rsidRDefault="00F227D7" w:rsidP="000116FB">
      <w:pPr>
        <w:jc w:val="both"/>
        <w:rPr>
          <w:rFonts w:cs="Arial"/>
        </w:rPr>
      </w:pPr>
      <w:r>
        <w:rPr>
          <w:rFonts w:cs="Arial"/>
        </w:rPr>
        <w:t>The CME Team based in Chorley is an arm of the Pupil Access Team and has strong links to school admission and admission appeal issues (annual intake processes for primary and secondary schools and academies and appeal outcomes and offered places not being accessed).</w:t>
      </w:r>
    </w:p>
    <w:p w:rsidR="00F227D7" w:rsidRDefault="00F227D7" w:rsidP="000116FB">
      <w:pPr>
        <w:jc w:val="both"/>
        <w:rPr>
          <w:rFonts w:cs="Arial"/>
        </w:rPr>
      </w:pPr>
      <w:r>
        <w:rPr>
          <w:rFonts w:cs="Arial"/>
        </w:rPr>
        <w:t xml:space="preserve"> </w:t>
      </w:r>
    </w:p>
    <w:p w:rsidR="00F227D7" w:rsidRDefault="00F227D7" w:rsidP="001841C8">
      <w:pPr>
        <w:jc w:val="both"/>
        <w:rPr>
          <w:rFonts w:cs="Arial"/>
        </w:rPr>
      </w:pPr>
      <w:r>
        <w:rPr>
          <w:rFonts w:cs="Arial"/>
        </w:rPr>
        <w:t xml:space="preserve">There are established referral procedures with Pupil Access (linked to admission, appeal, and fair access protocol processes) and links to tracking and court officers and other teams and agencies (eg the Gypsy, Roma, Traveller Service – GRT).  </w:t>
      </w:r>
    </w:p>
    <w:p w:rsidR="002F0FFF" w:rsidRDefault="002F0FFF" w:rsidP="001841C8">
      <w:pPr>
        <w:jc w:val="both"/>
        <w:rPr>
          <w:rFonts w:cs="Arial"/>
        </w:rPr>
      </w:pPr>
    </w:p>
    <w:p w:rsidR="00F227D7" w:rsidRDefault="00F227D7" w:rsidP="001841C8">
      <w:pPr>
        <w:jc w:val="both"/>
        <w:rPr>
          <w:rFonts w:cs="Arial"/>
        </w:rPr>
      </w:pPr>
      <w:r>
        <w:rPr>
          <w:rFonts w:cs="Arial"/>
        </w:rPr>
        <w:t>The Team consists of 5 full time equivalent staff.  They cover the whole of Lancashire and the nature of CME requires extensive liaison and partnership working with other agencies and across the County border.</w:t>
      </w:r>
    </w:p>
    <w:p w:rsidR="00D35E0E" w:rsidRDefault="00D35E0E" w:rsidP="00F227D7">
      <w:pPr>
        <w:rPr>
          <w:rFonts w:cs="Arial"/>
        </w:rPr>
      </w:pPr>
    </w:p>
    <w:p w:rsidR="00F227D7" w:rsidRDefault="00F227D7" w:rsidP="000116FB">
      <w:pPr>
        <w:jc w:val="both"/>
        <w:rPr>
          <w:rFonts w:cs="Arial"/>
        </w:rPr>
      </w:pPr>
      <w:r>
        <w:rPr>
          <w:rFonts w:cs="Arial"/>
        </w:rPr>
        <w:t>During the school year 2012-13 there were a total of 1,447 referrals to CME.  The breakdown by year group was as follows:-</w:t>
      </w:r>
    </w:p>
    <w:p w:rsidR="002F0FFF" w:rsidRDefault="002F0FFF" w:rsidP="000116FB">
      <w:pPr>
        <w:jc w:val="both"/>
        <w:rPr>
          <w:rFonts w:cs="Arial"/>
        </w:rPr>
      </w:pPr>
    </w:p>
    <w:p w:rsidR="00F227D7" w:rsidRPr="005C5E41" w:rsidRDefault="00F227D7" w:rsidP="00F227D7">
      <w:pPr>
        <w:rPr>
          <w:rFonts w:cs="Arial"/>
          <w:u w:val="single"/>
        </w:rPr>
      </w:pPr>
      <w:r w:rsidRPr="005C5E41">
        <w:rPr>
          <w:rFonts w:cs="Arial"/>
          <w:u w:val="single"/>
        </w:rPr>
        <w:t xml:space="preserve">Primary </w:t>
      </w:r>
      <w:r>
        <w:rPr>
          <w:rFonts w:cs="Arial"/>
        </w:rPr>
        <w:tab/>
      </w:r>
      <w:r>
        <w:rPr>
          <w:rFonts w:cs="Arial"/>
        </w:rPr>
        <w:tab/>
      </w:r>
      <w:r>
        <w:rPr>
          <w:rFonts w:cs="Arial"/>
        </w:rPr>
        <w:tab/>
      </w:r>
      <w:r>
        <w:rPr>
          <w:rFonts w:cs="Arial"/>
        </w:rPr>
        <w:tab/>
      </w:r>
      <w:r w:rsidRPr="005C5E41">
        <w:rPr>
          <w:rFonts w:cs="Arial"/>
          <w:u w:val="single"/>
        </w:rPr>
        <w:t xml:space="preserve">Secondary </w:t>
      </w:r>
    </w:p>
    <w:p w:rsidR="00F227D7" w:rsidRPr="005C5E41" w:rsidRDefault="00F227D7" w:rsidP="00F227D7">
      <w:pPr>
        <w:rPr>
          <w:rFonts w:cs="Arial"/>
        </w:rPr>
      </w:pPr>
      <w:r w:rsidRPr="005C5E41">
        <w:rPr>
          <w:rFonts w:cs="Arial"/>
        </w:rPr>
        <w:t>Rec</w:t>
      </w:r>
      <w:r>
        <w:rPr>
          <w:rFonts w:cs="Arial"/>
        </w:rPr>
        <w:tab/>
        <w:t>166</w:t>
      </w:r>
      <w:r>
        <w:rPr>
          <w:rFonts w:cs="Arial"/>
        </w:rPr>
        <w:tab/>
      </w:r>
      <w:r>
        <w:rPr>
          <w:rFonts w:cs="Arial"/>
        </w:rPr>
        <w:tab/>
      </w:r>
      <w:r>
        <w:rPr>
          <w:rFonts w:cs="Arial"/>
        </w:rPr>
        <w:tab/>
      </w:r>
      <w:r>
        <w:rPr>
          <w:rFonts w:cs="Arial"/>
        </w:rPr>
        <w:tab/>
        <w:t>Yr7</w:t>
      </w:r>
      <w:r>
        <w:rPr>
          <w:rFonts w:cs="Arial"/>
        </w:rPr>
        <w:tab/>
        <w:t>104</w:t>
      </w:r>
    </w:p>
    <w:p w:rsidR="00F227D7" w:rsidRDefault="00F227D7" w:rsidP="00F227D7">
      <w:pPr>
        <w:rPr>
          <w:rFonts w:cs="Arial"/>
        </w:rPr>
      </w:pPr>
      <w:r w:rsidRPr="005C5E41">
        <w:rPr>
          <w:rFonts w:cs="Arial"/>
        </w:rPr>
        <w:t>Yr1</w:t>
      </w:r>
      <w:r>
        <w:rPr>
          <w:rFonts w:cs="Arial"/>
        </w:rPr>
        <w:tab/>
        <w:t>148</w:t>
      </w:r>
      <w:r>
        <w:rPr>
          <w:rFonts w:cs="Arial"/>
        </w:rPr>
        <w:tab/>
      </w:r>
      <w:r>
        <w:rPr>
          <w:rFonts w:cs="Arial"/>
        </w:rPr>
        <w:tab/>
      </w:r>
      <w:r>
        <w:rPr>
          <w:rFonts w:cs="Arial"/>
        </w:rPr>
        <w:tab/>
      </w:r>
      <w:r>
        <w:rPr>
          <w:rFonts w:cs="Arial"/>
        </w:rPr>
        <w:tab/>
        <w:t>Yr8</w:t>
      </w:r>
      <w:r>
        <w:rPr>
          <w:rFonts w:cs="Arial"/>
        </w:rPr>
        <w:tab/>
        <w:t>143</w:t>
      </w:r>
    </w:p>
    <w:p w:rsidR="00F227D7" w:rsidRDefault="00F227D7" w:rsidP="00F227D7">
      <w:pPr>
        <w:rPr>
          <w:rFonts w:cs="Arial"/>
        </w:rPr>
      </w:pPr>
      <w:r>
        <w:rPr>
          <w:rFonts w:cs="Arial"/>
        </w:rPr>
        <w:t>Yr2</w:t>
      </w:r>
      <w:r>
        <w:rPr>
          <w:rFonts w:cs="Arial"/>
        </w:rPr>
        <w:tab/>
        <w:t>118</w:t>
      </w:r>
      <w:r>
        <w:rPr>
          <w:rFonts w:cs="Arial"/>
        </w:rPr>
        <w:tab/>
      </w:r>
      <w:r>
        <w:rPr>
          <w:rFonts w:cs="Arial"/>
        </w:rPr>
        <w:tab/>
      </w:r>
      <w:r>
        <w:rPr>
          <w:rFonts w:cs="Arial"/>
        </w:rPr>
        <w:tab/>
      </w:r>
      <w:r>
        <w:rPr>
          <w:rFonts w:cs="Arial"/>
        </w:rPr>
        <w:tab/>
        <w:t>Yr9</w:t>
      </w:r>
      <w:r>
        <w:rPr>
          <w:rFonts w:cs="Arial"/>
        </w:rPr>
        <w:tab/>
        <w:t>129</w:t>
      </w:r>
    </w:p>
    <w:p w:rsidR="00F227D7" w:rsidRDefault="00F227D7" w:rsidP="00F227D7">
      <w:pPr>
        <w:rPr>
          <w:rFonts w:cs="Arial"/>
        </w:rPr>
      </w:pPr>
      <w:r>
        <w:rPr>
          <w:rFonts w:cs="Arial"/>
        </w:rPr>
        <w:t>Yr3</w:t>
      </w:r>
      <w:r>
        <w:rPr>
          <w:rFonts w:cs="Arial"/>
        </w:rPr>
        <w:tab/>
        <w:t>94</w:t>
      </w:r>
      <w:r>
        <w:rPr>
          <w:rFonts w:cs="Arial"/>
        </w:rPr>
        <w:tab/>
      </w:r>
      <w:r>
        <w:rPr>
          <w:rFonts w:cs="Arial"/>
        </w:rPr>
        <w:tab/>
      </w:r>
      <w:r>
        <w:rPr>
          <w:rFonts w:cs="Arial"/>
        </w:rPr>
        <w:tab/>
      </w:r>
      <w:r>
        <w:rPr>
          <w:rFonts w:cs="Arial"/>
        </w:rPr>
        <w:tab/>
        <w:t>Yr10</w:t>
      </w:r>
      <w:r>
        <w:rPr>
          <w:rFonts w:cs="Arial"/>
        </w:rPr>
        <w:tab/>
        <w:t>125</w:t>
      </w:r>
    </w:p>
    <w:p w:rsidR="00F227D7" w:rsidRDefault="00F227D7" w:rsidP="00F227D7">
      <w:pPr>
        <w:rPr>
          <w:rFonts w:cs="Arial"/>
        </w:rPr>
      </w:pPr>
      <w:r>
        <w:rPr>
          <w:rFonts w:cs="Arial"/>
        </w:rPr>
        <w:t>Yr4</w:t>
      </w:r>
      <w:r>
        <w:rPr>
          <w:rFonts w:cs="Arial"/>
        </w:rPr>
        <w:tab/>
        <w:t>85</w:t>
      </w:r>
      <w:r>
        <w:rPr>
          <w:rFonts w:cs="Arial"/>
        </w:rPr>
        <w:tab/>
      </w:r>
      <w:r>
        <w:rPr>
          <w:rFonts w:cs="Arial"/>
        </w:rPr>
        <w:tab/>
      </w:r>
      <w:r>
        <w:rPr>
          <w:rFonts w:cs="Arial"/>
        </w:rPr>
        <w:tab/>
      </w:r>
      <w:r>
        <w:rPr>
          <w:rFonts w:cs="Arial"/>
        </w:rPr>
        <w:tab/>
      </w:r>
      <w:r w:rsidRPr="0089697C">
        <w:rPr>
          <w:rFonts w:cs="Arial"/>
          <w:u w:val="single"/>
        </w:rPr>
        <w:t>Yr11</w:t>
      </w:r>
      <w:r w:rsidRPr="0089697C">
        <w:rPr>
          <w:rFonts w:cs="Arial"/>
          <w:u w:val="single"/>
        </w:rPr>
        <w:tab/>
        <w:t>179</w:t>
      </w:r>
    </w:p>
    <w:p w:rsidR="00F227D7" w:rsidRDefault="00F227D7" w:rsidP="00F227D7">
      <w:pPr>
        <w:rPr>
          <w:rFonts w:cs="Arial"/>
        </w:rPr>
      </w:pPr>
      <w:r>
        <w:rPr>
          <w:rFonts w:cs="Arial"/>
        </w:rPr>
        <w:t>Yr5</w:t>
      </w:r>
      <w:r>
        <w:rPr>
          <w:rFonts w:cs="Arial"/>
        </w:rPr>
        <w:tab/>
        <w:t>86</w:t>
      </w:r>
      <w:r>
        <w:rPr>
          <w:rFonts w:cs="Arial"/>
        </w:rPr>
        <w:tab/>
      </w:r>
      <w:r>
        <w:rPr>
          <w:rFonts w:cs="Arial"/>
        </w:rPr>
        <w:tab/>
      </w:r>
      <w:r>
        <w:rPr>
          <w:rFonts w:cs="Arial"/>
        </w:rPr>
        <w:tab/>
      </w:r>
      <w:r>
        <w:rPr>
          <w:rFonts w:cs="Arial"/>
        </w:rPr>
        <w:tab/>
      </w:r>
      <w:r w:rsidRPr="00EC0AC9">
        <w:rPr>
          <w:rFonts w:cs="Arial"/>
          <w:u w:val="single"/>
        </w:rPr>
        <w:tab/>
        <w:t>680</w:t>
      </w:r>
    </w:p>
    <w:p w:rsidR="00F227D7" w:rsidRPr="0089697C" w:rsidRDefault="00F227D7" w:rsidP="00F227D7">
      <w:pPr>
        <w:rPr>
          <w:rFonts w:cs="Arial"/>
          <w:u w:val="single"/>
        </w:rPr>
      </w:pPr>
      <w:r w:rsidRPr="0089697C">
        <w:rPr>
          <w:rFonts w:cs="Arial"/>
          <w:u w:val="single"/>
        </w:rPr>
        <w:t>Yr6</w:t>
      </w:r>
      <w:r w:rsidRPr="0089697C">
        <w:rPr>
          <w:rFonts w:cs="Arial"/>
          <w:u w:val="single"/>
        </w:rPr>
        <w:tab/>
        <w:t>70</w:t>
      </w:r>
    </w:p>
    <w:p w:rsidR="00F227D7" w:rsidRDefault="00F227D7" w:rsidP="00F227D7">
      <w:pPr>
        <w:rPr>
          <w:rFonts w:cs="Arial"/>
          <w:u w:val="single"/>
        </w:rPr>
      </w:pPr>
      <w:r w:rsidRPr="0089697C">
        <w:rPr>
          <w:rFonts w:cs="Arial"/>
          <w:u w:val="single"/>
        </w:rPr>
        <w:t xml:space="preserve">          767</w:t>
      </w:r>
    </w:p>
    <w:p w:rsidR="00F227D7" w:rsidRDefault="00F227D7" w:rsidP="00F227D7">
      <w:pPr>
        <w:rPr>
          <w:rFonts w:cs="Arial"/>
          <w:u w:val="single"/>
        </w:rPr>
      </w:pPr>
    </w:p>
    <w:p w:rsidR="00F227D7" w:rsidRDefault="00F227D7" w:rsidP="000116FB">
      <w:pPr>
        <w:jc w:val="both"/>
        <w:rPr>
          <w:rFonts w:cs="Arial"/>
        </w:rPr>
      </w:pPr>
      <w:r w:rsidRPr="00F66919">
        <w:rPr>
          <w:rFonts w:cs="Arial"/>
        </w:rPr>
        <w:t>There are two types of referral</w:t>
      </w:r>
      <w:r>
        <w:rPr>
          <w:rFonts w:cs="Arial"/>
        </w:rPr>
        <w:t xml:space="preserve"> (and a split of around 50 / 50 in these over a year)</w:t>
      </w:r>
      <w:r w:rsidRPr="00F66919">
        <w:rPr>
          <w:rFonts w:cs="Arial"/>
        </w:rPr>
        <w:t>:-</w:t>
      </w:r>
    </w:p>
    <w:p w:rsidR="00F227D7" w:rsidRDefault="00F227D7" w:rsidP="000116FB">
      <w:pPr>
        <w:jc w:val="both"/>
        <w:rPr>
          <w:rFonts w:cs="Arial"/>
        </w:rPr>
      </w:pPr>
    </w:p>
    <w:p w:rsidR="00F227D7" w:rsidRPr="00F227D7" w:rsidRDefault="00F227D7" w:rsidP="000116FB">
      <w:pPr>
        <w:pStyle w:val="ListParagraph"/>
        <w:numPr>
          <w:ilvl w:val="0"/>
          <w:numId w:val="12"/>
        </w:numPr>
        <w:spacing w:after="0"/>
        <w:jc w:val="both"/>
        <w:rPr>
          <w:rFonts w:ascii="Arial" w:hAnsi="Arial" w:cs="Arial"/>
          <w:sz w:val="24"/>
          <w:szCs w:val="24"/>
        </w:rPr>
      </w:pPr>
      <w:r w:rsidRPr="00F227D7">
        <w:rPr>
          <w:rFonts w:ascii="Arial" w:hAnsi="Arial" w:cs="Arial"/>
          <w:sz w:val="24"/>
          <w:szCs w:val="24"/>
        </w:rPr>
        <w:t>Tracking – these are cases where the pupil is on a school or academy roll but their whereabouts is unknown.</w:t>
      </w:r>
    </w:p>
    <w:p w:rsidR="00F227D7" w:rsidRPr="00F227D7" w:rsidRDefault="00F227D7" w:rsidP="000116FB">
      <w:pPr>
        <w:pStyle w:val="ListParagraph"/>
        <w:numPr>
          <w:ilvl w:val="0"/>
          <w:numId w:val="12"/>
        </w:numPr>
        <w:spacing w:after="0"/>
        <w:jc w:val="both"/>
        <w:rPr>
          <w:rFonts w:ascii="Arial" w:hAnsi="Arial" w:cs="Arial"/>
          <w:sz w:val="24"/>
          <w:szCs w:val="24"/>
        </w:rPr>
      </w:pPr>
      <w:r w:rsidRPr="00F227D7">
        <w:rPr>
          <w:rFonts w:ascii="Arial" w:hAnsi="Arial" w:cs="Arial"/>
          <w:sz w:val="24"/>
          <w:szCs w:val="24"/>
        </w:rPr>
        <w:t>Placement – where the pupil requires an educational placement</w:t>
      </w:r>
    </w:p>
    <w:p w:rsidR="00F227D7" w:rsidRPr="001704C9" w:rsidRDefault="00F227D7" w:rsidP="000116FB">
      <w:pPr>
        <w:jc w:val="both"/>
        <w:rPr>
          <w:rFonts w:cs="Arial"/>
          <w:u w:val="single"/>
        </w:rPr>
      </w:pPr>
    </w:p>
    <w:p w:rsidR="002F0FFF" w:rsidRDefault="00F227D7" w:rsidP="000116FB">
      <w:pPr>
        <w:jc w:val="both"/>
        <w:rPr>
          <w:rFonts w:cs="Arial"/>
          <w:b/>
        </w:rPr>
      </w:pPr>
      <w:r w:rsidRPr="00F227D7">
        <w:rPr>
          <w:rFonts w:cs="Arial"/>
          <w:b/>
        </w:rPr>
        <w:t>Tracking Referrals</w:t>
      </w:r>
    </w:p>
    <w:p w:rsidR="002F0FFF" w:rsidRDefault="002F0FFF" w:rsidP="000116FB">
      <w:pPr>
        <w:jc w:val="both"/>
        <w:rPr>
          <w:rFonts w:cs="Arial"/>
          <w:b/>
        </w:rPr>
      </w:pPr>
    </w:p>
    <w:p w:rsidR="00F227D7" w:rsidRDefault="00F227D7" w:rsidP="000116FB">
      <w:pPr>
        <w:jc w:val="both"/>
        <w:rPr>
          <w:rFonts w:cs="Arial"/>
        </w:rPr>
      </w:pPr>
      <w:r w:rsidRPr="00267C22">
        <w:rPr>
          <w:rFonts w:cs="Arial"/>
        </w:rPr>
        <w:t xml:space="preserve">Initial contact is with the last known address however this is not usually successful as the families have normally relocated. Investigations </w:t>
      </w:r>
      <w:r>
        <w:rPr>
          <w:rFonts w:cs="Arial"/>
        </w:rPr>
        <w:t>then include</w:t>
      </w:r>
      <w:r w:rsidRPr="00267C22">
        <w:rPr>
          <w:rFonts w:cs="Arial"/>
        </w:rPr>
        <w:t xml:space="preserve"> Council Tax </w:t>
      </w:r>
      <w:r>
        <w:rPr>
          <w:rFonts w:cs="Arial"/>
        </w:rPr>
        <w:t>checks</w:t>
      </w:r>
      <w:r w:rsidRPr="00267C22">
        <w:rPr>
          <w:rFonts w:cs="Arial"/>
        </w:rPr>
        <w:t>, Experian, Health, Police and</w:t>
      </w:r>
      <w:r>
        <w:rPr>
          <w:rFonts w:cs="Arial"/>
        </w:rPr>
        <w:t xml:space="preserve"> a</w:t>
      </w:r>
      <w:r w:rsidRPr="00267C22">
        <w:rPr>
          <w:rFonts w:cs="Arial"/>
        </w:rPr>
        <w:t xml:space="preserve"> </w:t>
      </w:r>
      <w:r w:rsidR="002F0FFF">
        <w:rPr>
          <w:rFonts w:cs="Arial"/>
        </w:rPr>
        <w:t>Unique Pupil Number (</w:t>
      </w:r>
      <w:r w:rsidRPr="00267C22">
        <w:rPr>
          <w:rFonts w:cs="Arial"/>
        </w:rPr>
        <w:t>UPN</w:t>
      </w:r>
      <w:r w:rsidR="002F0FFF">
        <w:rPr>
          <w:rFonts w:cs="Arial"/>
        </w:rPr>
        <w:t>)</w:t>
      </w:r>
      <w:r w:rsidRPr="00267C22">
        <w:rPr>
          <w:rFonts w:cs="Arial"/>
        </w:rPr>
        <w:t xml:space="preserve"> </w:t>
      </w:r>
      <w:r>
        <w:rPr>
          <w:rFonts w:cs="Arial"/>
        </w:rPr>
        <w:t>n</w:t>
      </w:r>
      <w:r w:rsidRPr="00267C22">
        <w:rPr>
          <w:rFonts w:cs="Arial"/>
        </w:rPr>
        <w:t xml:space="preserve">ational search.  If </w:t>
      </w:r>
      <w:r>
        <w:rPr>
          <w:rFonts w:cs="Arial"/>
        </w:rPr>
        <w:t>the pupil is still not located then</w:t>
      </w:r>
      <w:r w:rsidRPr="00267C22">
        <w:rPr>
          <w:rFonts w:cs="Arial"/>
        </w:rPr>
        <w:t xml:space="preserve"> a joint protocol </w:t>
      </w:r>
      <w:r>
        <w:rPr>
          <w:rFonts w:cs="Arial"/>
        </w:rPr>
        <w:t xml:space="preserve">agreed </w:t>
      </w:r>
      <w:r w:rsidRPr="00267C22">
        <w:rPr>
          <w:rFonts w:cs="Arial"/>
        </w:rPr>
        <w:t xml:space="preserve">with the police </w:t>
      </w:r>
      <w:r>
        <w:rPr>
          <w:rFonts w:cs="Arial"/>
        </w:rPr>
        <w:t xml:space="preserve">is followed. This </w:t>
      </w:r>
      <w:r w:rsidRPr="00267C22">
        <w:rPr>
          <w:rFonts w:cs="Arial"/>
        </w:rPr>
        <w:t xml:space="preserve">involves calling a multi-agency meeting to </w:t>
      </w:r>
      <w:r>
        <w:rPr>
          <w:rFonts w:cs="Arial"/>
        </w:rPr>
        <w:t>move matters forward. The CME team are extremely successful in tracking pupils and only between 6 and 10 multi agency meetings involving the police were called during 2012-13.</w:t>
      </w:r>
    </w:p>
    <w:p w:rsidR="0048750F" w:rsidRDefault="0048750F" w:rsidP="000116FB">
      <w:pPr>
        <w:jc w:val="both"/>
        <w:rPr>
          <w:rFonts w:cs="Arial"/>
        </w:rPr>
      </w:pPr>
    </w:p>
    <w:p w:rsidR="00F227D7" w:rsidRDefault="00F227D7" w:rsidP="000116FB">
      <w:pPr>
        <w:jc w:val="both"/>
        <w:rPr>
          <w:rFonts w:cs="Arial"/>
          <w:b/>
        </w:rPr>
      </w:pPr>
      <w:r w:rsidRPr="00F227D7">
        <w:rPr>
          <w:rFonts w:cs="Arial"/>
          <w:b/>
        </w:rPr>
        <w:t>Placement Referrals</w:t>
      </w:r>
    </w:p>
    <w:p w:rsidR="002F0FFF" w:rsidRPr="00F227D7" w:rsidRDefault="002F0FFF" w:rsidP="000116FB">
      <w:pPr>
        <w:jc w:val="both"/>
        <w:rPr>
          <w:rFonts w:cs="Arial"/>
          <w:b/>
        </w:rPr>
      </w:pPr>
    </w:p>
    <w:p w:rsidR="00F227D7" w:rsidRDefault="00F227D7" w:rsidP="000116FB">
      <w:pPr>
        <w:jc w:val="both"/>
        <w:rPr>
          <w:rFonts w:cs="Arial"/>
        </w:rPr>
      </w:pPr>
      <w:r w:rsidRPr="0004692C">
        <w:rPr>
          <w:rFonts w:cs="Arial"/>
        </w:rPr>
        <w:t xml:space="preserve">CME accompany many parents and pupils </w:t>
      </w:r>
      <w:r>
        <w:rPr>
          <w:rFonts w:cs="Arial"/>
        </w:rPr>
        <w:t>to school and academy meetings to discuss and negotiate start dates. Without this support the families concerned would not follow up on offered appointments and pupils would remain CME and so require further resource input.</w:t>
      </w:r>
    </w:p>
    <w:p w:rsidR="00F227D7" w:rsidRDefault="00F227D7" w:rsidP="000116FB">
      <w:pPr>
        <w:jc w:val="both"/>
        <w:rPr>
          <w:rFonts w:cs="Arial"/>
        </w:rPr>
      </w:pPr>
      <w:r>
        <w:rPr>
          <w:rFonts w:cs="Arial"/>
        </w:rPr>
        <w:lastRenderedPageBreak/>
        <w:t xml:space="preserve">For secondary aged pupils CME identify and broker alternative provision, especially where a long gap in education and / or the pupil's previous record suggests that a mainstream placement is not likely to be successful.  During 2012-13 CME arranged 78 alternative placements (76 for Yr11 pupils and 2 for Yr 10 pupils). Of these 19 were placed in Lancashire Short Stay Schools. </w:t>
      </w:r>
    </w:p>
    <w:p w:rsidR="00981ECB" w:rsidRDefault="00981ECB" w:rsidP="000116FB">
      <w:pPr>
        <w:jc w:val="both"/>
        <w:rPr>
          <w:rFonts w:cs="Arial"/>
        </w:rPr>
      </w:pPr>
    </w:p>
    <w:p w:rsidR="00F227D7" w:rsidRDefault="00F227D7" w:rsidP="000116FB">
      <w:pPr>
        <w:jc w:val="both"/>
        <w:rPr>
          <w:rFonts w:cs="Arial"/>
        </w:rPr>
      </w:pPr>
      <w:r>
        <w:rPr>
          <w:rFonts w:cs="Arial"/>
        </w:rPr>
        <w:t>The majority of placements are for vocational activities with only the occasional pupil opting for a BTEC option. This is because most of the referred pupils have had long periods out of formal education when they are referred as CME.</w:t>
      </w:r>
    </w:p>
    <w:p w:rsidR="00981ECB" w:rsidRDefault="00981ECB" w:rsidP="000116FB">
      <w:pPr>
        <w:jc w:val="both"/>
        <w:rPr>
          <w:rFonts w:cs="Arial"/>
        </w:rPr>
      </w:pPr>
    </w:p>
    <w:p w:rsidR="00F227D7" w:rsidRDefault="00F227D7" w:rsidP="000116FB">
      <w:pPr>
        <w:jc w:val="both"/>
        <w:rPr>
          <w:rFonts w:cs="Arial"/>
        </w:rPr>
      </w:pPr>
      <w:r>
        <w:rPr>
          <w:rFonts w:cs="Arial"/>
        </w:rPr>
        <w:t>College placements are also used as is National Teaching and Advisory Service support (NT&amp;AS). This has been particularly useful in meeting the needs of Traveller pupils who have benefited from the focussed support available whilst being slowly re-integrated to a mainstream placement.</w:t>
      </w:r>
    </w:p>
    <w:p w:rsidR="00981ECB" w:rsidRDefault="00981ECB" w:rsidP="000116FB">
      <w:pPr>
        <w:jc w:val="both"/>
        <w:rPr>
          <w:rFonts w:cs="Arial"/>
        </w:rPr>
      </w:pPr>
    </w:p>
    <w:p w:rsidR="00F227D7" w:rsidRDefault="00F227D7" w:rsidP="000116FB">
      <w:pPr>
        <w:jc w:val="both"/>
        <w:rPr>
          <w:rFonts w:cs="Arial"/>
        </w:rPr>
      </w:pPr>
      <w:r>
        <w:rPr>
          <w:rFonts w:cs="Arial"/>
        </w:rPr>
        <w:t>Funding for placements is predominantly re-claimed each February via the Department for Education's alternative education pro forma although some are also funded (usually short term) via a limited Year 11 and Vulnerable budget held by the Pupil Access Team.</w:t>
      </w:r>
    </w:p>
    <w:p w:rsidR="002F0FFF" w:rsidRDefault="002F0FFF" w:rsidP="000116FB">
      <w:pPr>
        <w:jc w:val="both"/>
        <w:rPr>
          <w:rFonts w:cs="Arial"/>
        </w:rPr>
      </w:pPr>
    </w:p>
    <w:p w:rsidR="00F227D7" w:rsidRDefault="00F227D7" w:rsidP="000116FB">
      <w:pPr>
        <w:jc w:val="both"/>
        <w:rPr>
          <w:rFonts w:cs="Arial"/>
          <w:b/>
        </w:rPr>
      </w:pPr>
      <w:r w:rsidRPr="00F227D7">
        <w:rPr>
          <w:rFonts w:cs="Arial"/>
          <w:b/>
        </w:rPr>
        <w:t>Summary</w:t>
      </w:r>
    </w:p>
    <w:p w:rsidR="002F0FFF" w:rsidRPr="00F227D7" w:rsidRDefault="002F0FFF" w:rsidP="000116FB">
      <w:pPr>
        <w:jc w:val="both"/>
        <w:rPr>
          <w:rFonts w:cs="Arial"/>
          <w:b/>
        </w:rPr>
      </w:pPr>
    </w:p>
    <w:p w:rsidR="00F227D7" w:rsidRDefault="00F227D7" w:rsidP="000116FB">
      <w:pPr>
        <w:jc w:val="both"/>
        <w:rPr>
          <w:rFonts w:cs="Arial"/>
        </w:rPr>
      </w:pPr>
      <w:r>
        <w:rPr>
          <w:rFonts w:cs="Arial"/>
        </w:rPr>
        <w:t>The CME team work extremely well in tracking and placing the many referrals received annually.</w:t>
      </w:r>
    </w:p>
    <w:p w:rsidR="00981ECB" w:rsidRDefault="00981ECB" w:rsidP="000116FB">
      <w:pPr>
        <w:jc w:val="both"/>
        <w:rPr>
          <w:rFonts w:cs="Arial"/>
        </w:rPr>
      </w:pPr>
    </w:p>
    <w:p w:rsidR="00F227D7" w:rsidRDefault="00F227D7" w:rsidP="000116FB">
      <w:pPr>
        <w:jc w:val="both"/>
        <w:rPr>
          <w:rFonts w:cs="Arial"/>
        </w:rPr>
      </w:pPr>
      <w:r>
        <w:rPr>
          <w:rFonts w:cs="Arial"/>
        </w:rPr>
        <w:t xml:space="preserve">The provision of a dedicated database would greatly assist and this will be examined as part of the corporate review of ICT applications which has recently commenced. </w:t>
      </w:r>
    </w:p>
    <w:p w:rsidR="00772BBA" w:rsidRDefault="00772BBA">
      <w:pPr>
        <w:pStyle w:val="Heading1"/>
      </w:pPr>
    </w:p>
    <w:p w:rsidR="003E6A45" w:rsidRDefault="003E6A45">
      <w:pPr>
        <w:pStyle w:val="Heading1"/>
      </w:pPr>
      <w:r>
        <w:t>Consultations</w:t>
      </w:r>
    </w:p>
    <w:p w:rsidR="003E6A45" w:rsidRDefault="00981ECB">
      <w:r>
        <w:t>N/A</w:t>
      </w:r>
    </w:p>
    <w:p w:rsidR="003E6A45" w:rsidRDefault="003E6A45"/>
    <w:p w:rsidR="00772BBA" w:rsidRDefault="003E6A45" w:rsidP="00772BBA">
      <w:r>
        <w:rPr>
          <w:b/>
        </w:rPr>
        <w:t>Implications</w:t>
      </w:r>
      <w:r>
        <w:t xml:space="preserve">: </w:t>
      </w:r>
    </w:p>
    <w:p w:rsidR="00772BBA" w:rsidRDefault="00981ECB" w:rsidP="00772BBA">
      <w:r>
        <w:t>N/A</w:t>
      </w:r>
    </w:p>
    <w:p w:rsidR="009B61F1" w:rsidRDefault="009B61F1" w:rsidP="00772BBA">
      <w:pPr>
        <w:rPr>
          <w:b/>
        </w:rPr>
      </w:pPr>
    </w:p>
    <w:p w:rsidR="00772BBA" w:rsidRPr="00092B2F" w:rsidRDefault="00772BBA" w:rsidP="00772BBA">
      <w:pPr>
        <w:rPr>
          <w:b/>
        </w:rPr>
      </w:pPr>
      <w:r w:rsidRPr="00092B2F">
        <w:rPr>
          <w:b/>
        </w:rPr>
        <w:t>Risk management</w:t>
      </w:r>
    </w:p>
    <w:p w:rsidR="00772BBA" w:rsidRDefault="00772BBA" w:rsidP="00772BBA"/>
    <w:p w:rsidR="00772BBA" w:rsidRDefault="00981ECB" w:rsidP="00981ECB">
      <w:r>
        <w:t xml:space="preserve">There are no implications for risk management arising from this report. </w:t>
      </w:r>
    </w:p>
    <w:p w:rsidR="003E6A45" w:rsidRDefault="003E6A45">
      <w:pPr>
        <w:pStyle w:val="Heading5"/>
        <w:rPr>
          <w:rFonts w:ascii="Arial" w:hAnsi="Arial"/>
        </w:rPr>
      </w:pPr>
    </w:p>
    <w:p w:rsidR="003C31B3" w:rsidRPr="003C31B3" w:rsidRDefault="003C31B3" w:rsidP="003C31B3"/>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firstRow="0" w:lastRow="0" w:firstColumn="0" w:lastColumn="0" w:noHBand="0" w:noVBand="0"/>
      </w:tblPr>
      <w:tblGrid>
        <w:gridCol w:w="3227"/>
        <w:gridCol w:w="2775"/>
        <w:gridCol w:w="3178"/>
      </w:tblGrid>
      <w:tr w:rsidR="003E6A45">
        <w:tblPrEx>
          <w:tblCellMar>
            <w:top w:w="0" w:type="dxa"/>
            <w:bottom w:w="0" w:type="dxa"/>
          </w:tblCellMar>
        </w:tblPrEx>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blPrEx>
          <w:tblCellMar>
            <w:top w:w="0" w:type="dxa"/>
            <w:bottom w:w="0" w:type="dxa"/>
          </w:tblCellMar>
        </w:tblPrEx>
        <w:tc>
          <w:tcPr>
            <w:tcW w:w="3227" w:type="dxa"/>
          </w:tcPr>
          <w:p w:rsidR="003E6A45" w:rsidRDefault="003E6A45">
            <w:pPr>
              <w:pStyle w:val="Heading7"/>
              <w:rPr>
                <w:rFonts w:ascii="Arial" w:hAnsi="Arial"/>
                <w:u w:val="none"/>
              </w:rPr>
            </w:pPr>
          </w:p>
          <w:p w:rsidR="003E6A45" w:rsidRDefault="003E6A45"/>
          <w:p w:rsidR="003C31B3" w:rsidRDefault="003C31B3"/>
        </w:tc>
        <w:tc>
          <w:tcPr>
            <w:tcW w:w="2775" w:type="dxa"/>
          </w:tcPr>
          <w:p w:rsidR="003E6A45" w:rsidRDefault="003E6A45">
            <w:pPr>
              <w:pStyle w:val="Heading7"/>
              <w:rPr>
                <w:rFonts w:ascii="Arial" w:hAnsi="Arial"/>
                <w:u w:val="none"/>
              </w:rPr>
            </w:pPr>
          </w:p>
          <w:p w:rsidR="003E6A45" w:rsidRDefault="003E6A45"/>
          <w:p w:rsidR="003C31B3" w:rsidRDefault="003C31B3"/>
        </w:tc>
        <w:tc>
          <w:tcPr>
            <w:tcW w:w="3178" w:type="dxa"/>
          </w:tcPr>
          <w:p w:rsidR="003E6A45" w:rsidRDefault="003E6A45"/>
          <w:p w:rsidR="003E6A45" w:rsidRDefault="003E6A45"/>
          <w:p w:rsidR="003C31B3" w:rsidRDefault="003C31B3"/>
        </w:tc>
      </w:tr>
      <w:tr w:rsidR="003E6A45">
        <w:tblPrEx>
          <w:tblCellMar>
            <w:top w:w="0" w:type="dxa"/>
            <w:bottom w:w="0" w:type="dxa"/>
          </w:tblCellMar>
        </w:tblPrEx>
        <w:tc>
          <w:tcPr>
            <w:tcW w:w="9180" w:type="dxa"/>
            <w:gridSpan w:val="3"/>
          </w:tcPr>
          <w:p w:rsidR="003E6A45" w:rsidRDefault="003E6A45">
            <w:r>
              <w:t>Reason for inclusion in Part II, if appropriate</w:t>
            </w:r>
          </w:p>
          <w:p w:rsidR="003E6A45" w:rsidRDefault="003E6A45"/>
          <w:p w:rsidR="003E6A45" w:rsidRDefault="003C31B3">
            <w:r>
              <w:t>N/A</w:t>
            </w:r>
          </w:p>
        </w:tc>
      </w:tr>
    </w:tbl>
    <w:p w:rsidR="003E6A45" w:rsidRDefault="003E6A45" w:rsidP="000116FB"/>
    <w:sectPr w:rsidR="003E6A45" w:rsidSect="00DA1434">
      <w:footerReference w:type="default" r:id="rId9"/>
      <w:footerReference w:type="first" r:id="rId10"/>
      <w:type w:val="continuous"/>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C3" w:rsidRDefault="007E13C3">
      <w:r>
        <w:separator/>
      </w:r>
    </w:p>
  </w:endnote>
  <w:endnote w:type="continuationSeparator" w:id="0">
    <w:p w:rsidR="007E13C3" w:rsidRDefault="007E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E54CFB">
      <w:tblPrEx>
        <w:tblCellMar>
          <w:top w:w="0" w:type="dxa"/>
          <w:bottom w:w="0" w:type="dxa"/>
        </w:tblCellMar>
      </w:tblPrEx>
      <w:tc>
        <w:tcPr>
          <w:tcW w:w="9243" w:type="dxa"/>
          <w:tcBorders>
            <w:top w:val="nil"/>
            <w:left w:val="nil"/>
            <w:bottom w:val="nil"/>
            <w:right w:val="nil"/>
          </w:tcBorders>
        </w:tcPr>
        <w:p w:rsidR="00E54CFB" w:rsidRDefault="00E54CFB">
          <w:pPr>
            <w:pStyle w:val="Footer"/>
            <w:tabs>
              <w:tab w:val="clear" w:pos="4153"/>
            </w:tabs>
            <w:ind w:right="-45"/>
            <w:jc w:val="right"/>
          </w:pPr>
        </w:p>
      </w:tc>
    </w:tr>
  </w:tbl>
  <w:p w:rsidR="00E54CFB" w:rsidRDefault="00E54CFB">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FB" w:rsidRDefault="00E54CFB">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C3" w:rsidRDefault="007E13C3">
      <w:r>
        <w:separator/>
      </w:r>
    </w:p>
  </w:footnote>
  <w:footnote w:type="continuationSeparator" w:id="0">
    <w:p w:rsidR="007E13C3" w:rsidRDefault="007E1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D1C"/>
    <w:multiLevelType w:val="hybridMultilevel"/>
    <w:tmpl w:val="72F8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F6DF3"/>
    <w:multiLevelType w:val="hybridMultilevel"/>
    <w:tmpl w:val="826CDF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C5C0676"/>
    <w:multiLevelType w:val="hybridMultilevel"/>
    <w:tmpl w:val="3F784F88"/>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3">
    <w:nsid w:val="3348155B"/>
    <w:multiLevelType w:val="hybridMultilevel"/>
    <w:tmpl w:val="0C5EECA8"/>
    <w:lvl w:ilvl="0" w:tplc="84A2DEEE">
      <w:start w:val="2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E1773F"/>
    <w:multiLevelType w:val="hybridMultilevel"/>
    <w:tmpl w:val="F2D0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84781D"/>
    <w:multiLevelType w:val="hybridMultilevel"/>
    <w:tmpl w:val="80F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0C164A"/>
    <w:multiLevelType w:val="hybridMultilevel"/>
    <w:tmpl w:val="B03A4F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B677CE"/>
    <w:multiLevelType w:val="hybridMultilevel"/>
    <w:tmpl w:val="ECC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26019"/>
    <w:multiLevelType w:val="hybridMultilevel"/>
    <w:tmpl w:val="57FA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71A169A"/>
    <w:multiLevelType w:val="hybridMultilevel"/>
    <w:tmpl w:val="9072EA8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6A367985"/>
    <w:multiLevelType w:val="hybridMultilevel"/>
    <w:tmpl w:val="6F8C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97575A"/>
    <w:multiLevelType w:val="hybridMultilevel"/>
    <w:tmpl w:val="5E3CAF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767D7746"/>
    <w:multiLevelType w:val="hybridMultilevel"/>
    <w:tmpl w:val="5E3CAF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76B96B0B"/>
    <w:multiLevelType w:val="hybridMultilevel"/>
    <w:tmpl w:val="B330B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E42BFF"/>
    <w:multiLevelType w:val="hybridMultilevel"/>
    <w:tmpl w:val="133C55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4"/>
  </w:num>
  <w:num w:numId="4">
    <w:abstractNumId w:val="7"/>
  </w:num>
  <w:num w:numId="5">
    <w:abstractNumId w:val="8"/>
  </w:num>
  <w:num w:numId="6">
    <w:abstractNumId w:val="3"/>
  </w:num>
  <w:num w:numId="7">
    <w:abstractNumId w:val="6"/>
  </w:num>
  <w:num w:numId="8">
    <w:abstractNumId w:val="13"/>
  </w:num>
  <w:num w:numId="9">
    <w:abstractNumId w:val="0"/>
  </w:num>
  <w:num w:numId="10">
    <w:abstractNumId w:val="10"/>
  </w:num>
  <w:num w:numId="11">
    <w:abstractNumId w:val="1"/>
  </w:num>
  <w:num w:numId="12">
    <w:abstractNumId w:val="9"/>
  </w:num>
  <w:num w:numId="13">
    <w:abstractNumId w:val="12"/>
  </w:num>
  <w:num w:numId="14">
    <w:abstractNumId w:val="11"/>
  </w:num>
  <w:num w:numId="15">
    <w:abstractNumId w:val="5"/>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A45"/>
    <w:rsid w:val="000116FB"/>
    <w:rsid w:val="0004692C"/>
    <w:rsid w:val="00092B2F"/>
    <w:rsid w:val="000949D1"/>
    <w:rsid w:val="000A1B31"/>
    <w:rsid w:val="000D6783"/>
    <w:rsid w:val="00134BC4"/>
    <w:rsid w:val="001704C9"/>
    <w:rsid w:val="001841C8"/>
    <w:rsid w:val="001A3DCF"/>
    <w:rsid w:val="001D0404"/>
    <w:rsid w:val="002270B2"/>
    <w:rsid w:val="00267C22"/>
    <w:rsid w:val="0028461B"/>
    <w:rsid w:val="002A4C32"/>
    <w:rsid w:val="002B11AF"/>
    <w:rsid w:val="002F0FFF"/>
    <w:rsid w:val="00304DBA"/>
    <w:rsid w:val="0031092D"/>
    <w:rsid w:val="00354CAC"/>
    <w:rsid w:val="00357954"/>
    <w:rsid w:val="00373C23"/>
    <w:rsid w:val="003C31B3"/>
    <w:rsid w:val="003C3E49"/>
    <w:rsid w:val="003E6A45"/>
    <w:rsid w:val="00403FB9"/>
    <w:rsid w:val="0044710C"/>
    <w:rsid w:val="004666BB"/>
    <w:rsid w:val="0048750F"/>
    <w:rsid w:val="00532D43"/>
    <w:rsid w:val="00567102"/>
    <w:rsid w:val="00581BB4"/>
    <w:rsid w:val="005C5E41"/>
    <w:rsid w:val="005D022D"/>
    <w:rsid w:val="00621B00"/>
    <w:rsid w:val="006D082E"/>
    <w:rsid w:val="006F3B93"/>
    <w:rsid w:val="00743085"/>
    <w:rsid w:val="00772BBA"/>
    <w:rsid w:val="00782250"/>
    <w:rsid w:val="007E13C3"/>
    <w:rsid w:val="007E7A9F"/>
    <w:rsid w:val="00820931"/>
    <w:rsid w:val="00885E59"/>
    <w:rsid w:val="0089697C"/>
    <w:rsid w:val="008A5E88"/>
    <w:rsid w:val="008D34FC"/>
    <w:rsid w:val="00981ECB"/>
    <w:rsid w:val="009B3418"/>
    <w:rsid w:val="009B61F1"/>
    <w:rsid w:val="00A22FA3"/>
    <w:rsid w:val="00A33ABB"/>
    <w:rsid w:val="00A8320F"/>
    <w:rsid w:val="00AF70F1"/>
    <w:rsid w:val="00B30297"/>
    <w:rsid w:val="00B67789"/>
    <w:rsid w:val="00B94C28"/>
    <w:rsid w:val="00BB08CC"/>
    <w:rsid w:val="00C11384"/>
    <w:rsid w:val="00C20DC0"/>
    <w:rsid w:val="00C602EB"/>
    <w:rsid w:val="00C877CB"/>
    <w:rsid w:val="00CD5239"/>
    <w:rsid w:val="00D35E0E"/>
    <w:rsid w:val="00D57906"/>
    <w:rsid w:val="00DA1434"/>
    <w:rsid w:val="00E060D9"/>
    <w:rsid w:val="00E23773"/>
    <w:rsid w:val="00E54CFB"/>
    <w:rsid w:val="00EA45E5"/>
    <w:rsid w:val="00EC0AC9"/>
    <w:rsid w:val="00F227D7"/>
    <w:rsid w:val="00F66919"/>
    <w:rsid w:val="00FE0B66"/>
    <w:rsid w:val="00FE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5">
    <w:name w:val="heading 5"/>
    <w:basedOn w:val="Normal"/>
    <w:next w:val="Normal"/>
    <w:link w:val="Heading5Char"/>
    <w:uiPriority w:val="9"/>
    <w:qFormat/>
    <w:pPr>
      <w:keepNext/>
      <w:outlineLvl w:val="4"/>
    </w:pPr>
    <w:rPr>
      <w:rFonts w:ascii="Univers" w:hAnsi="Univers"/>
      <w:b/>
      <w:u w:val="single"/>
    </w:rPr>
  </w:style>
  <w:style w:type="paragraph" w:styleId="Heading6">
    <w:name w:val="heading 6"/>
    <w:basedOn w:val="Normal"/>
    <w:next w:val="Normal"/>
    <w:link w:val="Heading6Char"/>
    <w:uiPriority w:val="9"/>
    <w:qFormat/>
    <w:pPr>
      <w:keepNext/>
      <w:outlineLvl w:val="5"/>
    </w:pPr>
    <w:rPr>
      <w:rFonts w:ascii="Univers" w:hAnsi="Univers"/>
      <w:b/>
    </w:rPr>
  </w:style>
  <w:style w:type="paragraph" w:styleId="Heading7">
    <w:name w:val="heading 7"/>
    <w:basedOn w:val="Normal"/>
    <w:next w:val="Normal"/>
    <w:link w:val="Heading7Char"/>
    <w:uiPriority w:val="9"/>
    <w:qFormat/>
    <w:pPr>
      <w:keepNext/>
      <w:outlineLvl w:val="6"/>
    </w:pPr>
    <w:rPr>
      <w:rFonts w:ascii="Univers" w:hAnsi="Univers"/>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sz w:val="24"/>
    </w:rPr>
  </w:style>
  <w:style w:type="paragraph" w:customStyle="1" w:styleId="arial11">
    <w:name w:val="arial11"/>
    <w:basedOn w:val="Normal"/>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sz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DA1434"/>
    <w:rPr>
      <w:rFonts w:ascii="Arial" w:hAnsi="Arial"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8D34FC"/>
    <w:rPr>
      <w:color w:val="0000FF"/>
      <w:u w:val="single"/>
    </w:rPr>
  </w:style>
  <w:style w:type="paragraph" w:styleId="NoSpacing">
    <w:name w:val="No Spacing"/>
    <w:uiPriority w:val="1"/>
    <w:qFormat/>
    <w:rsid w:val="00FE0B66"/>
    <w:rPr>
      <w:rFonts w:ascii="Calibri" w:hAnsi="Calibri"/>
      <w:sz w:val="22"/>
      <w:szCs w:val="22"/>
      <w:lang w:eastAsia="en-US"/>
    </w:rPr>
  </w:style>
  <w:style w:type="table" w:styleId="TableGrid">
    <w:name w:val="Table Grid"/>
    <w:basedOn w:val="TableNormal"/>
    <w:uiPriority w:val="59"/>
    <w:rsid w:val="00FE0B6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0B66"/>
    <w:pPr>
      <w:spacing w:after="200" w:line="276" w:lineRule="auto"/>
      <w:ind w:left="720"/>
      <w:contextualSpacing/>
    </w:pPr>
    <w:rPr>
      <w:rFonts w:ascii="Calibri" w:hAnsi="Calibri"/>
      <w:sz w:val="22"/>
      <w:szCs w:val="22"/>
      <w:lang w:eastAsia="en-US"/>
    </w:rPr>
  </w:style>
  <w:style w:type="paragraph" w:customStyle="1" w:styleId="Default">
    <w:name w:val="Default"/>
    <w:rsid w:val="00FE0B6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33ABB"/>
    <w:rPr>
      <w:rFonts w:ascii="Consolas" w:hAnsi="Consolas"/>
      <w:sz w:val="21"/>
      <w:szCs w:val="21"/>
      <w:lang w:eastAsia="en-US"/>
    </w:rPr>
  </w:style>
  <w:style w:type="character" w:customStyle="1" w:styleId="PlainTextChar">
    <w:name w:val="Plain Text Char"/>
    <w:basedOn w:val="DefaultParagraphFont"/>
    <w:link w:val="PlainText"/>
    <w:uiPriority w:val="99"/>
    <w:locked/>
    <w:rsid w:val="00A33ABB"/>
    <w:rPr>
      <w:rFonts w:ascii="Consolas" w:eastAsia="Times New Roman" w:hAnsi="Consolas"/>
      <w:sz w:val="21"/>
      <w:lang w:val="x-none" w:eastAsia="en-US"/>
    </w:rPr>
  </w:style>
  <w:style w:type="character" w:styleId="CommentReference">
    <w:name w:val="annotation reference"/>
    <w:basedOn w:val="DefaultParagraphFont"/>
    <w:uiPriority w:val="99"/>
    <w:semiHidden/>
    <w:unhideWhenUsed/>
    <w:rsid w:val="00A33ABB"/>
    <w:rPr>
      <w:sz w:val="16"/>
    </w:rPr>
  </w:style>
  <w:style w:type="paragraph" w:styleId="CommentText">
    <w:name w:val="annotation text"/>
    <w:basedOn w:val="Normal"/>
    <w:link w:val="CommentTextChar"/>
    <w:uiPriority w:val="99"/>
    <w:semiHidden/>
    <w:unhideWhenUsed/>
    <w:rsid w:val="00A33ABB"/>
    <w:pPr>
      <w:spacing w:after="200"/>
    </w:pPr>
    <w:rPr>
      <w:rFonts w:ascii="Calibri" w:hAnsi="Calibri"/>
      <w:sz w:val="20"/>
      <w:lang w:eastAsia="en-US"/>
    </w:rPr>
  </w:style>
  <w:style w:type="character" w:customStyle="1" w:styleId="CommentTextChar">
    <w:name w:val="Comment Text Char"/>
    <w:basedOn w:val="DefaultParagraphFont"/>
    <w:link w:val="CommentText"/>
    <w:uiPriority w:val="99"/>
    <w:semiHidden/>
    <w:locked/>
    <w:rsid w:val="00A33ABB"/>
    <w:rPr>
      <w:rFonts w:ascii="Calibri" w:eastAsia="Times New Roman" w:hAnsi="Calibri"/>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870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ob.stott@lanca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1</TotalTime>
  <Pages>14</Pages>
  <Words>4717</Words>
  <Characters>26889</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Item 5 CYP Not participating in a school setting</vt:lpstr>
    </vt:vector>
  </TitlesOfParts>
  <Company>One Connect Limited</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5 CYP Not participating in a school setting</dc:title>
  <dc:creator>Lancashire Council</dc:creator>
  <cp:keywords>Council meetings;Government, politics and public administration; Local government; Decision making; Council meetings;</cp:keywords>
  <dc:description>August 2009</dc:description>
  <cp:lastModifiedBy>User</cp:lastModifiedBy>
  <cp:revision>2</cp:revision>
  <cp:lastPrinted>2002-09-23T10:55:00Z</cp:lastPrinted>
  <dcterms:created xsi:type="dcterms:W3CDTF">2014-09-17T15:36:00Z</dcterms:created>
  <dcterms:modified xsi:type="dcterms:W3CDTF">2014-09-17T15:36:00Z</dcterms:modified>
</cp:coreProperties>
</file>